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41" w:rsidRPr="00584C41" w:rsidRDefault="00584C41" w:rsidP="00584C41">
      <w:pPr>
        <w:pStyle w:val="paragraph"/>
        <w:spacing w:before="0" w:beforeAutospacing="0" w:after="0" w:afterAutospacing="0"/>
        <w:textAlignment w:val="baseline"/>
        <w:rPr>
          <w:rStyle w:val="normaltextrun"/>
          <w:rFonts w:ascii="Rockwell" w:hAnsi="Rockwell" w:cs="Arial"/>
          <w:b/>
          <w:bCs/>
          <w:color w:val="363636"/>
        </w:rPr>
      </w:pPr>
      <w:r w:rsidRPr="00584C41">
        <w:rPr>
          <w:rStyle w:val="normaltextrun"/>
          <w:rFonts w:ascii="Rockwell" w:hAnsi="Rockwell" w:cs="Arial"/>
          <w:b/>
          <w:bCs/>
          <w:color w:val="363636"/>
        </w:rPr>
        <w:t>Public Service Policy 1.5</w:t>
      </w:r>
      <w:r>
        <w:rPr>
          <w:rStyle w:val="normaltextrun"/>
          <w:rFonts w:ascii="Rockwell" w:hAnsi="Rockwell" w:cs="Arial"/>
          <w:b/>
          <w:bCs/>
          <w:color w:val="363636"/>
        </w:rPr>
        <w:t>—</w:t>
      </w:r>
      <w:r>
        <w:rPr>
          <w:rStyle w:val="normaltextrun"/>
          <w:rFonts w:ascii="Rockwell" w:hAnsi="Rockwell" w:cs="Arial"/>
          <w:b/>
          <w:bCs/>
          <w:color w:val="FF0000"/>
        </w:rPr>
        <w:t>DRAFT</w:t>
      </w:r>
      <w:bookmarkStart w:id="0" w:name="_GoBack"/>
      <w:bookmarkEnd w:id="0"/>
    </w:p>
    <w:p w:rsidR="00584C41" w:rsidRPr="00584C41" w:rsidRDefault="00584C41" w:rsidP="00584C41">
      <w:pPr>
        <w:pStyle w:val="paragraph"/>
        <w:spacing w:before="0" w:beforeAutospacing="0" w:after="0" w:afterAutospacing="0"/>
        <w:textAlignment w:val="baseline"/>
        <w:rPr>
          <w:rStyle w:val="normaltextrun"/>
          <w:rFonts w:ascii="Rockwell" w:hAnsi="Rockwell" w:cs="Arial"/>
          <w:bCs/>
          <w:color w:val="363636"/>
          <w:sz w:val="22"/>
          <w:szCs w:val="22"/>
        </w:rPr>
      </w:pPr>
      <w:r w:rsidRPr="00584C41">
        <w:rPr>
          <w:rStyle w:val="normaltextrun"/>
          <w:rFonts w:ascii="Rockwell" w:hAnsi="Rockwell" w:cs="Arial"/>
          <w:bCs/>
          <w:color w:val="363636"/>
          <w:sz w:val="22"/>
          <w:szCs w:val="22"/>
        </w:rPr>
        <w:t>(</w:t>
      </w:r>
      <w:proofErr w:type="gramStart"/>
      <w:r w:rsidRPr="00584C41">
        <w:rPr>
          <w:rStyle w:val="normaltextrun"/>
          <w:rFonts w:ascii="Rockwell" w:hAnsi="Rockwell" w:cs="Arial"/>
          <w:bCs/>
          <w:color w:val="363636"/>
          <w:sz w:val="22"/>
          <w:szCs w:val="22"/>
          <w:highlight w:val="yellow"/>
        </w:rPr>
        <w:t>proposed</w:t>
      </w:r>
      <w:proofErr w:type="gramEnd"/>
      <w:r w:rsidRPr="00584C41">
        <w:rPr>
          <w:rStyle w:val="normaltextrun"/>
          <w:rFonts w:ascii="Rockwell" w:hAnsi="Rockwell" w:cs="Arial"/>
          <w:bCs/>
          <w:color w:val="363636"/>
          <w:sz w:val="22"/>
          <w:szCs w:val="22"/>
          <w:highlight w:val="yellow"/>
        </w:rPr>
        <w:t xml:space="preserve"> additions highlighted</w:t>
      </w:r>
      <w:r w:rsidRPr="00584C41">
        <w:rPr>
          <w:rStyle w:val="normaltextrun"/>
          <w:rFonts w:ascii="Rockwell" w:hAnsi="Rockwell" w:cs="Arial"/>
          <w:bCs/>
          <w:color w:val="363636"/>
          <w:sz w:val="22"/>
          <w:szCs w:val="22"/>
        </w:rPr>
        <w:t>, presented 3/8/2023)</w:t>
      </w:r>
    </w:p>
    <w:p w:rsidR="00584C41" w:rsidRPr="00584C41" w:rsidRDefault="00584C41" w:rsidP="00584C41">
      <w:pPr>
        <w:pStyle w:val="paragraph"/>
        <w:spacing w:before="0" w:beforeAutospacing="0" w:after="0" w:afterAutospacing="0"/>
        <w:textAlignment w:val="baseline"/>
        <w:rPr>
          <w:rStyle w:val="normaltextrun"/>
          <w:rFonts w:ascii="Rockwell" w:hAnsi="Rockwell" w:cs="Arial"/>
          <w:b/>
          <w:bCs/>
          <w:color w:val="363636"/>
          <w:sz w:val="22"/>
          <w:szCs w:val="22"/>
        </w:rPr>
      </w:pPr>
    </w:p>
    <w:p w:rsidR="00584C41" w:rsidRDefault="00584C41" w:rsidP="00584C41">
      <w:pPr>
        <w:pStyle w:val="paragraph"/>
        <w:spacing w:before="0" w:beforeAutospacing="0" w:after="0" w:afterAutospacing="0"/>
        <w:textAlignment w:val="baseline"/>
        <w:rPr>
          <w:rStyle w:val="eop"/>
          <w:rFonts w:ascii="Rockwell" w:hAnsi="Rockwell" w:cs="Arial"/>
          <w:color w:val="363636"/>
          <w:sz w:val="22"/>
          <w:szCs w:val="22"/>
        </w:rPr>
      </w:pPr>
      <w:r w:rsidRPr="00584C41">
        <w:rPr>
          <w:rStyle w:val="normaltextrun"/>
          <w:rFonts w:ascii="Rockwell" w:hAnsi="Rockwell" w:cs="Arial"/>
          <w:color w:val="363636"/>
          <w:sz w:val="22"/>
          <w:szCs w:val="22"/>
        </w:rPr>
        <w:t>Library meeting rooms are available to groups or organizations which have a cultural, educational, civic, social, political, religious</w:t>
      </w:r>
      <w:r w:rsidRPr="00584C41">
        <w:rPr>
          <w:rStyle w:val="normaltextrun"/>
          <w:rFonts w:ascii="Rockwell" w:hAnsi="Rockwell" w:cs="Arial"/>
          <w:color w:val="363636"/>
          <w:sz w:val="22"/>
          <w:szCs w:val="22"/>
          <w:shd w:val="clear" w:color="auto" w:fill="FFFF00"/>
        </w:rPr>
        <w:t>, professional, or other community-oriented focus. Community m</w:t>
      </w:r>
      <w:r w:rsidRPr="00584C41">
        <w:rPr>
          <w:rStyle w:val="normaltextrun"/>
          <w:rFonts w:ascii="Rockwell" w:hAnsi="Rockwell" w:cs="Arial"/>
          <w:color w:val="363636"/>
          <w:sz w:val="22"/>
          <w:szCs w:val="22"/>
        </w:rPr>
        <w:t>eetings shall be open to the public. No admission may be charged and no items or services may be sold (excluding library program materials). </w:t>
      </w:r>
      <w:r w:rsidRPr="00584C41">
        <w:rPr>
          <w:rStyle w:val="eop"/>
          <w:rFonts w:ascii="Rockwell" w:hAnsi="Rockwell" w:cs="Arial"/>
          <w:color w:val="363636"/>
          <w:sz w:val="22"/>
          <w:szCs w:val="22"/>
        </w:rPr>
        <w:t> </w:t>
      </w:r>
    </w:p>
    <w:p w:rsidR="00584C41" w:rsidRPr="00584C41" w:rsidRDefault="00584C41" w:rsidP="00584C41">
      <w:pPr>
        <w:pStyle w:val="paragraph"/>
        <w:spacing w:before="0" w:beforeAutospacing="0" w:after="0" w:afterAutospacing="0"/>
        <w:textAlignment w:val="baseline"/>
        <w:rPr>
          <w:rFonts w:ascii="Rockwell" w:hAnsi="Rockwell"/>
          <w:sz w:val="22"/>
          <w:szCs w:val="22"/>
        </w:rPr>
      </w:pPr>
    </w:p>
    <w:p w:rsidR="00584C41" w:rsidRDefault="00584C41" w:rsidP="00584C41">
      <w:pPr>
        <w:pStyle w:val="paragraph"/>
        <w:spacing w:before="0" w:beforeAutospacing="0" w:after="0" w:afterAutospacing="0"/>
        <w:textAlignment w:val="baseline"/>
        <w:rPr>
          <w:rStyle w:val="eop"/>
          <w:rFonts w:ascii="Rockwell" w:hAnsi="Rockwell" w:cs="Arial"/>
          <w:color w:val="363636"/>
          <w:sz w:val="22"/>
          <w:szCs w:val="22"/>
        </w:rPr>
      </w:pPr>
      <w:r w:rsidRPr="00584C41">
        <w:rPr>
          <w:rStyle w:val="normaltextrun"/>
          <w:rFonts w:ascii="Rockwell" w:hAnsi="Rockwell" w:cs="Arial"/>
          <w:color w:val="363636"/>
          <w:sz w:val="22"/>
          <w:szCs w:val="22"/>
          <w:shd w:val="clear" w:color="auto" w:fill="FFFF00"/>
        </w:rPr>
        <w:t>Meeting rooms are available for individual use for persons volunteering as tutors as part of a non-profit program, and for individuals seeking a quiet space for study, research, job interviews, and social service meetings. A telehealth room with privacy curtains is also available for individual use at the Main Library and Northside Branch.</w:t>
      </w:r>
      <w:r w:rsidRPr="00584C41">
        <w:rPr>
          <w:rStyle w:val="eop"/>
          <w:rFonts w:ascii="Rockwell" w:hAnsi="Rockwell" w:cs="Arial"/>
          <w:color w:val="363636"/>
          <w:sz w:val="22"/>
          <w:szCs w:val="22"/>
        </w:rPr>
        <w:t> </w:t>
      </w:r>
    </w:p>
    <w:p w:rsidR="00584C41" w:rsidRPr="00584C41" w:rsidRDefault="00584C41" w:rsidP="00584C41">
      <w:pPr>
        <w:pStyle w:val="paragraph"/>
        <w:spacing w:before="0" w:beforeAutospacing="0" w:after="0" w:afterAutospacing="0"/>
        <w:textAlignment w:val="baseline"/>
        <w:rPr>
          <w:rFonts w:ascii="Rockwell" w:hAnsi="Rockwell"/>
          <w:sz w:val="22"/>
          <w:szCs w:val="22"/>
        </w:rPr>
      </w:pPr>
    </w:p>
    <w:p w:rsidR="00584C41" w:rsidRDefault="00584C41" w:rsidP="00584C41">
      <w:pPr>
        <w:pStyle w:val="paragraph"/>
        <w:spacing w:before="0" w:beforeAutospacing="0" w:after="0" w:afterAutospacing="0"/>
        <w:textAlignment w:val="baseline"/>
        <w:rPr>
          <w:rStyle w:val="scxw201400833"/>
          <w:rFonts w:ascii="Rockwell" w:hAnsi="Rockwell" w:cs="Arial"/>
          <w:color w:val="363636"/>
          <w:sz w:val="22"/>
          <w:szCs w:val="22"/>
        </w:rPr>
      </w:pPr>
      <w:r w:rsidRPr="00584C41">
        <w:rPr>
          <w:rStyle w:val="normaltextrun"/>
          <w:rFonts w:ascii="Rockwell" w:hAnsi="Rockwell" w:cs="Arial"/>
          <w:color w:val="363636"/>
          <w:sz w:val="22"/>
          <w:szCs w:val="22"/>
        </w:rPr>
        <w:t xml:space="preserve">Meeting rooms are not available to non-library groups or individuals for the promotion or sales of services or products, fundraising, conducting classes for profit, or private social functions </w:t>
      </w:r>
      <w:r w:rsidRPr="00584C41">
        <w:rPr>
          <w:rStyle w:val="normaltextrun"/>
          <w:rFonts w:ascii="Rockwell" w:hAnsi="Rockwell" w:cs="Arial"/>
          <w:color w:val="363636"/>
          <w:sz w:val="22"/>
          <w:szCs w:val="22"/>
          <w:shd w:val="clear" w:color="auto" w:fill="FFFF00"/>
        </w:rPr>
        <w:t>(birthday parties, baby showers, family reunions, graduation party, memorial services, etc.).</w:t>
      </w:r>
      <w:r w:rsidRPr="00584C41">
        <w:rPr>
          <w:rStyle w:val="scxw201400833"/>
          <w:rFonts w:ascii="Rockwell" w:hAnsi="Rockwell" w:cs="Arial"/>
          <w:color w:val="363636"/>
          <w:sz w:val="22"/>
          <w:szCs w:val="22"/>
        </w:rPr>
        <w:t> </w:t>
      </w:r>
    </w:p>
    <w:p w:rsidR="00584C41" w:rsidRPr="00584C41" w:rsidRDefault="00584C41" w:rsidP="00584C41">
      <w:pPr>
        <w:pStyle w:val="paragraph"/>
        <w:spacing w:before="0" w:beforeAutospacing="0" w:after="0" w:afterAutospacing="0"/>
        <w:textAlignment w:val="baseline"/>
        <w:rPr>
          <w:rFonts w:ascii="Rockwell" w:hAnsi="Rockwell"/>
          <w:sz w:val="22"/>
          <w:szCs w:val="22"/>
        </w:rPr>
      </w:pPr>
    </w:p>
    <w:p w:rsidR="00584C41" w:rsidRPr="00584C41" w:rsidRDefault="00584C41" w:rsidP="00584C41">
      <w:pPr>
        <w:pStyle w:val="paragraph"/>
        <w:spacing w:before="0" w:beforeAutospacing="0" w:after="0" w:afterAutospacing="0"/>
        <w:textAlignment w:val="baseline"/>
        <w:rPr>
          <w:rFonts w:ascii="Rockwell" w:hAnsi="Rockwell"/>
          <w:sz w:val="22"/>
          <w:szCs w:val="22"/>
        </w:rPr>
      </w:pPr>
      <w:r w:rsidRPr="00584C41">
        <w:rPr>
          <w:rStyle w:val="normaltextrun"/>
          <w:rFonts w:ascii="Rockwell" w:hAnsi="Rockwell" w:cs="Calibri"/>
          <w:color w:val="363636"/>
          <w:sz w:val="22"/>
          <w:szCs w:val="22"/>
        </w:rPr>
        <w:t>The following guidelines apply to all non-library meetings held on library premises:</w:t>
      </w:r>
      <w:r w:rsidRPr="00584C41">
        <w:rPr>
          <w:rStyle w:val="eop"/>
          <w:rFonts w:ascii="Rockwell" w:hAnsi="Rockwell" w:cs="Calibri"/>
          <w:color w:val="363636"/>
          <w:sz w:val="22"/>
          <w:szCs w:val="22"/>
        </w:rPr>
        <w:t> </w:t>
      </w:r>
    </w:p>
    <w:p w:rsidR="00584C41" w:rsidRDefault="00584C41" w:rsidP="00584C41">
      <w:pPr>
        <w:pStyle w:val="paragraph"/>
        <w:spacing w:before="0" w:beforeAutospacing="0" w:after="0" w:afterAutospacing="0"/>
        <w:textAlignment w:val="baseline"/>
        <w:rPr>
          <w:rStyle w:val="eop"/>
          <w:rFonts w:ascii="Rockwell" w:hAnsi="Rockwell" w:cs="Calibri"/>
          <w:color w:val="363636"/>
          <w:sz w:val="22"/>
          <w:szCs w:val="22"/>
        </w:rPr>
      </w:pPr>
      <w:r w:rsidRPr="00584C41">
        <w:rPr>
          <w:rStyle w:val="normaltextrun"/>
          <w:rFonts w:ascii="Rockwell" w:hAnsi="Rockwell" w:cs="Calibri"/>
          <w:color w:val="363636"/>
          <w:sz w:val="22"/>
          <w:szCs w:val="22"/>
        </w:rPr>
        <w:t>Reservations must be made at least 24 hours in advance. In case of cancellation, the library requests notification by phone as soon as possible.</w:t>
      </w:r>
      <w:r w:rsidRPr="00584C41">
        <w:rPr>
          <w:rStyle w:val="eop"/>
          <w:rFonts w:ascii="Rockwell" w:hAnsi="Rockwell" w:cs="Calibri"/>
          <w:color w:val="363636"/>
          <w:sz w:val="22"/>
          <w:szCs w:val="22"/>
        </w:rPr>
        <w:t> </w:t>
      </w:r>
    </w:p>
    <w:p w:rsidR="00584C41" w:rsidRPr="00584C41" w:rsidRDefault="00584C41" w:rsidP="00584C41">
      <w:pPr>
        <w:pStyle w:val="paragraph"/>
        <w:spacing w:before="0" w:beforeAutospacing="0" w:after="0" w:afterAutospacing="0"/>
        <w:textAlignment w:val="baseline"/>
        <w:rPr>
          <w:rFonts w:ascii="Rockwell" w:hAnsi="Rockwell"/>
          <w:sz w:val="22"/>
          <w:szCs w:val="22"/>
        </w:rPr>
      </w:pP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Meeting rooms are only available for use during normal library hours.</w:t>
      </w:r>
      <w:r w:rsidRPr="00584C41">
        <w:rPr>
          <w:rStyle w:val="eop"/>
          <w:rFonts w:ascii="Rockwell" w:hAnsi="Rockwell" w:cs="Calibri"/>
          <w:color w:val="363636"/>
          <w:sz w:val="22"/>
          <w:szCs w:val="22"/>
        </w:rPr>
        <w:t> </w:t>
      </w: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 xml:space="preserve">The person making the application is responsible for ensuring that no alcoholic beverages are allowed on the premises </w:t>
      </w:r>
      <w:r w:rsidRPr="00584C41">
        <w:rPr>
          <w:rStyle w:val="normaltextrun"/>
          <w:rFonts w:ascii="Rockwell" w:hAnsi="Rockwell" w:cs="Calibri"/>
          <w:color w:val="363636"/>
          <w:sz w:val="22"/>
          <w:szCs w:val="22"/>
          <w:shd w:val="clear" w:color="auto" w:fill="FFFF00"/>
        </w:rPr>
        <w:t>and no type of tobacco use is permitted on any library property.</w:t>
      </w:r>
      <w:r w:rsidRPr="00584C41">
        <w:rPr>
          <w:rStyle w:val="eop"/>
          <w:rFonts w:ascii="Rockwell" w:hAnsi="Rockwell" w:cs="Calibri"/>
          <w:color w:val="363636"/>
          <w:sz w:val="22"/>
          <w:szCs w:val="22"/>
        </w:rPr>
        <w:t> </w:t>
      </w: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For safety reasons the stated capacity for each room must not be exceeded.</w:t>
      </w:r>
      <w:r w:rsidRPr="00584C41">
        <w:rPr>
          <w:rStyle w:val="eop"/>
          <w:rFonts w:ascii="Rockwell" w:hAnsi="Rockwell" w:cs="Calibri"/>
          <w:color w:val="363636"/>
          <w:sz w:val="22"/>
          <w:szCs w:val="22"/>
        </w:rPr>
        <w:t> </w:t>
      </w: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Groups are responsible for arranging chairs, tables, and other equipment provided in the meeting rooms to meet their own needs. Following their use of the room, groups must return the room to its original state. Clean-up of the room by the group is required.</w:t>
      </w:r>
      <w:r w:rsidRPr="00584C41">
        <w:rPr>
          <w:rStyle w:val="eop"/>
          <w:rFonts w:ascii="Rockwell" w:hAnsi="Rockwell" w:cs="Calibri"/>
          <w:color w:val="363636"/>
          <w:sz w:val="22"/>
          <w:szCs w:val="22"/>
        </w:rPr>
        <w:t> </w:t>
      </w: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The following disclaimer will be posted in the meeting room: “The library does not advocate or endorse the policies or purposes of any group or individual using the library meeting room. The library is not liable for injury to person or property arising out of use of the meeting room by an outside group or individual.”</w:t>
      </w:r>
      <w:r w:rsidRPr="00584C41">
        <w:rPr>
          <w:rStyle w:val="eop"/>
          <w:rFonts w:ascii="Rockwell" w:hAnsi="Rockwell" w:cs="Calibri"/>
          <w:color w:val="363636"/>
          <w:sz w:val="22"/>
          <w:szCs w:val="22"/>
        </w:rPr>
        <w:t> </w:t>
      </w: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Meetings held in any meeting room must not disturb normal library operations. The Library reserves the right to stop meetings that are disruptive to normal library operations.</w:t>
      </w:r>
      <w:r w:rsidRPr="00584C41">
        <w:rPr>
          <w:rStyle w:val="eop"/>
          <w:rFonts w:ascii="Rockwell" w:hAnsi="Rockwell" w:cs="Calibri"/>
          <w:color w:val="363636"/>
          <w:sz w:val="22"/>
          <w:szCs w:val="22"/>
        </w:rPr>
        <w:t> </w:t>
      </w:r>
    </w:p>
    <w:p w:rsidR="00584C41" w:rsidRPr="00584C41" w:rsidRDefault="00584C41" w:rsidP="00584C41">
      <w:pPr>
        <w:pStyle w:val="paragraph"/>
        <w:numPr>
          <w:ilvl w:val="0"/>
          <w:numId w:val="5"/>
        </w:numPr>
        <w:spacing w:before="0" w:beforeAutospacing="0" w:after="0" w:afterAutospacing="0"/>
        <w:textAlignment w:val="baseline"/>
        <w:rPr>
          <w:rFonts w:ascii="Rockwell" w:hAnsi="Rockwell" w:cs="Calibri"/>
          <w:sz w:val="22"/>
          <w:szCs w:val="22"/>
        </w:rPr>
      </w:pPr>
      <w:r w:rsidRPr="00584C41">
        <w:rPr>
          <w:rStyle w:val="normaltextrun"/>
          <w:rFonts w:ascii="Rockwell" w:hAnsi="Rockwell" w:cs="Calibri"/>
          <w:color w:val="363636"/>
          <w:sz w:val="22"/>
          <w:szCs w:val="22"/>
        </w:rPr>
        <w:t>Library meeting rooms may not be used for any activities prohibited by law.</w:t>
      </w:r>
      <w:r w:rsidRPr="00584C41">
        <w:rPr>
          <w:rStyle w:val="eop"/>
          <w:rFonts w:ascii="Rockwell" w:hAnsi="Rockwell" w:cs="Calibri"/>
          <w:color w:val="363636"/>
          <w:sz w:val="22"/>
          <w:szCs w:val="22"/>
        </w:rPr>
        <w:t> </w:t>
      </w:r>
    </w:p>
    <w:p w:rsidR="00584C41" w:rsidRDefault="00584C41" w:rsidP="00584C41">
      <w:pPr>
        <w:pStyle w:val="paragraph"/>
        <w:spacing w:before="0" w:beforeAutospacing="0" w:after="0" w:afterAutospacing="0"/>
        <w:textAlignment w:val="baseline"/>
        <w:rPr>
          <w:rStyle w:val="normaltextrun"/>
          <w:rFonts w:ascii="Rockwell" w:hAnsi="Rockwell" w:cs="Calibri"/>
          <w:color w:val="363636"/>
          <w:sz w:val="22"/>
          <w:szCs w:val="22"/>
        </w:rPr>
      </w:pPr>
    </w:p>
    <w:p w:rsidR="00584C41" w:rsidRDefault="00584C41" w:rsidP="00584C41">
      <w:pPr>
        <w:pStyle w:val="paragraph"/>
        <w:spacing w:before="0" w:beforeAutospacing="0" w:after="0" w:afterAutospacing="0"/>
        <w:textAlignment w:val="baseline"/>
        <w:rPr>
          <w:rStyle w:val="eop"/>
          <w:rFonts w:ascii="Rockwell" w:hAnsi="Rockwell" w:cs="Calibri"/>
          <w:color w:val="363636"/>
          <w:sz w:val="22"/>
          <w:szCs w:val="22"/>
        </w:rPr>
      </w:pPr>
      <w:r w:rsidRPr="00584C41">
        <w:rPr>
          <w:rStyle w:val="normaltextrun"/>
          <w:rFonts w:ascii="Rockwell" w:hAnsi="Rockwell" w:cs="Calibri"/>
          <w:color w:val="363636"/>
          <w:sz w:val="22"/>
          <w:szCs w:val="22"/>
        </w:rPr>
        <w:t>CRCPL reserves the right to reject any reservation if it is determined that the organization has abused its past privileges, including but not limited to: violation of any of the preceding policy and procedures, vandalism, theft, failure to exit the building on time, and failure to appear for a scheduled meeting. The acceptance of library policy and procedures (electronically or in person) assigns responsibility for loss or damages to the room and loss or damage to any library property or equipment used during the meeting to the person submitting the application. The library reserves the right to prohibit any person, group or organization from using the library meeting space.</w:t>
      </w:r>
      <w:r w:rsidRPr="00584C41">
        <w:rPr>
          <w:rStyle w:val="eop"/>
          <w:rFonts w:ascii="Rockwell" w:hAnsi="Rockwell" w:cs="Calibri"/>
          <w:color w:val="363636"/>
          <w:sz w:val="22"/>
          <w:szCs w:val="22"/>
        </w:rPr>
        <w:t> </w:t>
      </w:r>
    </w:p>
    <w:p w:rsidR="00584C41" w:rsidRPr="00584C41" w:rsidRDefault="00584C41" w:rsidP="00584C41">
      <w:pPr>
        <w:pStyle w:val="paragraph"/>
        <w:spacing w:before="0" w:beforeAutospacing="0" w:after="0" w:afterAutospacing="0"/>
        <w:textAlignment w:val="baseline"/>
        <w:rPr>
          <w:rFonts w:ascii="Rockwell" w:hAnsi="Rockwell"/>
          <w:sz w:val="22"/>
          <w:szCs w:val="22"/>
        </w:rPr>
      </w:pPr>
    </w:p>
    <w:p w:rsidR="00584C41" w:rsidRPr="00584C41" w:rsidRDefault="00584C41" w:rsidP="00584C41">
      <w:pPr>
        <w:pStyle w:val="paragraph"/>
        <w:spacing w:before="0" w:beforeAutospacing="0" w:after="0" w:afterAutospacing="0"/>
        <w:textAlignment w:val="baseline"/>
        <w:rPr>
          <w:rFonts w:ascii="Rockwell" w:hAnsi="Rockwell"/>
          <w:sz w:val="22"/>
          <w:szCs w:val="22"/>
        </w:rPr>
      </w:pPr>
      <w:r w:rsidRPr="00584C41">
        <w:rPr>
          <w:rStyle w:val="normaltextrun"/>
          <w:rFonts w:ascii="Rockwell" w:hAnsi="Rockwell" w:cs="Calibri"/>
          <w:color w:val="363636"/>
          <w:sz w:val="22"/>
          <w:szCs w:val="22"/>
        </w:rPr>
        <w:t>NOTE: The library’s use of meeting room space takes precedence over outside reservations. Occasionally, it may be necessary to cancel or move a meeting reservation if a specific space is needed by the library. Every effort will be made to give adequate notification to the organizer and/or organization affected and to find reasonable alternate accommodations.</w:t>
      </w:r>
      <w:r w:rsidRPr="00584C41">
        <w:rPr>
          <w:rStyle w:val="eop"/>
          <w:rFonts w:ascii="Rockwell" w:hAnsi="Rockwell" w:cs="Calibri"/>
          <w:color w:val="363636"/>
          <w:sz w:val="22"/>
          <w:szCs w:val="22"/>
        </w:rPr>
        <w:t> </w:t>
      </w:r>
    </w:p>
    <w:p w:rsidR="005A5020" w:rsidRPr="00584C41" w:rsidRDefault="005A5020" w:rsidP="00584C41">
      <w:pPr>
        <w:spacing w:after="0"/>
        <w:rPr>
          <w:rFonts w:ascii="Rockwell" w:hAnsi="Rockwell"/>
        </w:rPr>
      </w:pPr>
    </w:p>
    <w:sectPr w:rsidR="005A5020" w:rsidRPr="00584C41" w:rsidSect="00584C4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3510C"/>
    <w:multiLevelType w:val="multilevel"/>
    <w:tmpl w:val="FD2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146E9"/>
    <w:multiLevelType w:val="multilevel"/>
    <w:tmpl w:val="2C7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B7E4C"/>
    <w:multiLevelType w:val="multilevel"/>
    <w:tmpl w:val="DAFA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05029"/>
    <w:multiLevelType w:val="hybridMultilevel"/>
    <w:tmpl w:val="D2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B7626"/>
    <w:multiLevelType w:val="hybridMultilevel"/>
    <w:tmpl w:val="ABA8C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1"/>
    <w:rsid w:val="00584C41"/>
    <w:rsid w:val="005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EB5A"/>
  <w15:chartTrackingRefBased/>
  <w15:docId w15:val="{FDF934C5-1BB2-4B07-93D0-03D1997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4C41"/>
  </w:style>
  <w:style w:type="character" w:customStyle="1" w:styleId="eop">
    <w:name w:val="eop"/>
    <w:basedOn w:val="DefaultParagraphFont"/>
    <w:rsid w:val="00584C41"/>
  </w:style>
  <w:style w:type="character" w:customStyle="1" w:styleId="scxw201400833">
    <w:name w:val="scxw201400833"/>
    <w:basedOn w:val="DefaultParagraphFont"/>
    <w:rsid w:val="00584C41"/>
  </w:style>
  <w:style w:type="paragraph" w:styleId="NormalWeb">
    <w:name w:val="Normal (Web)"/>
    <w:basedOn w:val="Normal"/>
    <w:uiPriority w:val="99"/>
    <w:semiHidden/>
    <w:unhideWhenUsed/>
    <w:rsid w:val="00584C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5437">
      <w:bodyDiv w:val="1"/>
      <w:marLeft w:val="0"/>
      <w:marRight w:val="0"/>
      <w:marTop w:val="0"/>
      <w:marBottom w:val="0"/>
      <w:divBdr>
        <w:top w:val="none" w:sz="0" w:space="0" w:color="auto"/>
        <w:left w:val="none" w:sz="0" w:space="0" w:color="auto"/>
        <w:bottom w:val="none" w:sz="0" w:space="0" w:color="auto"/>
        <w:right w:val="none" w:sz="0" w:space="0" w:color="auto"/>
      </w:divBdr>
    </w:div>
    <w:div w:id="812060212">
      <w:bodyDiv w:val="1"/>
      <w:marLeft w:val="0"/>
      <w:marRight w:val="0"/>
      <w:marTop w:val="0"/>
      <w:marBottom w:val="0"/>
      <w:divBdr>
        <w:top w:val="none" w:sz="0" w:space="0" w:color="auto"/>
        <w:left w:val="none" w:sz="0" w:space="0" w:color="auto"/>
        <w:bottom w:val="none" w:sz="0" w:space="0" w:color="auto"/>
        <w:right w:val="none" w:sz="0" w:space="0" w:color="auto"/>
      </w:divBdr>
      <w:divsChild>
        <w:div w:id="1113750641">
          <w:marLeft w:val="0"/>
          <w:marRight w:val="0"/>
          <w:marTop w:val="0"/>
          <w:marBottom w:val="0"/>
          <w:divBdr>
            <w:top w:val="none" w:sz="0" w:space="0" w:color="auto"/>
            <w:left w:val="none" w:sz="0" w:space="0" w:color="auto"/>
            <w:bottom w:val="none" w:sz="0" w:space="0" w:color="auto"/>
            <w:right w:val="none" w:sz="0" w:space="0" w:color="auto"/>
          </w:divBdr>
          <w:divsChild>
            <w:div w:id="294988960">
              <w:marLeft w:val="0"/>
              <w:marRight w:val="0"/>
              <w:marTop w:val="0"/>
              <w:marBottom w:val="0"/>
              <w:divBdr>
                <w:top w:val="none" w:sz="0" w:space="0" w:color="auto"/>
                <w:left w:val="none" w:sz="0" w:space="0" w:color="auto"/>
                <w:bottom w:val="none" w:sz="0" w:space="0" w:color="auto"/>
                <w:right w:val="none" w:sz="0" w:space="0" w:color="auto"/>
              </w:divBdr>
            </w:div>
            <w:div w:id="49501417">
              <w:marLeft w:val="0"/>
              <w:marRight w:val="0"/>
              <w:marTop w:val="0"/>
              <w:marBottom w:val="0"/>
              <w:divBdr>
                <w:top w:val="none" w:sz="0" w:space="0" w:color="auto"/>
                <w:left w:val="none" w:sz="0" w:space="0" w:color="auto"/>
                <w:bottom w:val="none" w:sz="0" w:space="0" w:color="auto"/>
                <w:right w:val="none" w:sz="0" w:space="0" w:color="auto"/>
              </w:divBdr>
            </w:div>
            <w:div w:id="221721058">
              <w:marLeft w:val="0"/>
              <w:marRight w:val="0"/>
              <w:marTop w:val="0"/>
              <w:marBottom w:val="0"/>
              <w:divBdr>
                <w:top w:val="none" w:sz="0" w:space="0" w:color="auto"/>
                <w:left w:val="none" w:sz="0" w:space="0" w:color="auto"/>
                <w:bottom w:val="none" w:sz="0" w:space="0" w:color="auto"/>
                <w:right w:val="none" w:sz="0" w:space="0" w:color="auto"/>
              </w:divBdr>
            </w:div>
            <w:div w:id="1352534130">
              <w:marLeft w:val="0"/>
              <w:marRight w:val="0"/>
              <w:marTop w:val="0"/>
              <w:marBottom w:val="0"/>
              <w:divBdr>
                <w:top w:val="none" w:sz="0" w:space="0" w:color="auto"/>
                <w:left w:val="none" w:sz="0" w:space="0" w:color="auto"/>
                <w:bottom w:val="none" w:sz="0" w:space="0" w:color="auto"/>
                <w:right w:val="none" w:sz="0" w:space="0" w:color="auto"/>
              </w:divBdr>
            </w:div>
            <w:div w:id="96414000">
              <w:marLeft w:val="0"/>
              <w:marRight w:val="0"/>
              <w:marTop w:val="0"/>
              <w:marBottom w:val="0"/>
              <w:divBdr>
                <w:top w:val="none" w:sz="0" w:space="0" w:color="auto"/>
                <w:left w:val="none" w:sz="0" w:space="0" w:color="auto"/>
                <w:bottom w:val="none" w:sz="0" w:space="0" w:color="auto"/>
                <w:right w:val="none" w:sz="0" w:space="0" w:color="auto"/>
              </w:divBdr>
            </w:div>
            <w:div w:id="826361099">
              <w:marLeft w:val="0"/>
              <w:marRight w:val="0"/>
              <w:marTop w:val="0"/>
              <w:marBottom w:val="0"/>
              <w:divBdr>
                <w:top w:val="none" w:sz="0" w:space="0" w:color="auto"/>
                <w:left w:val="none" w:sz="0" w:space="0" w:color="auto"/>
                <w:bottom w:val="none" w:sz="0" w:space="0" w:color="auto"/>
                <w:right w:val="none" w:sz="0" w:space="0" w:color="auto"/>
              </w:divBdr>
            </w:div>
            <w:div w:id="1544292318">
              <w:marLeft w:val="0"/>
              <w:marRight w:val="0"/>
              <w:marTop w:val="0"/>
              <w:marBottom w:val="0"/>
              <w:divBdr>
                <w:top w:val="none" w:sz="0" w:space="0" w:color="auto"/>
                <w:left w:val="none" w:sz="0" w:space="0" w:color="auto"/>
                <w:bottom w:val="none" w:sz="0" w:space="0" w:color="auto"/>
                <w:right w:val="none" w:sz="0" w:space="0" w:color="auto"/>
              </w:divBdr>
            </w:div>
            <w:div w:id="1760980348">
              <w:marLeft w:val="0"/>
              <w:marRight w:val="0"/>
              <w:marTop w:val="0"/>
              <w:marBottom w:val="0"/>
              <w:divBdr>
                <w:top w:val="none" w:sz="0" w:space="0" w:color="auto"/>
                <w:left w:val="none" w:sz="0" w:space="0" w:color="auto"/>
                <w:bottom w:val="none" w:sz="0" w:space="0" w:color="auto"/>
                <w:right w:val="none" w:sz="0" w:space="0" w:color="auto"/>
              </w:divBdr>
            </w:div>
            <w:div w:id="1646663893">
              <w:marLeft w:val="0"/>
              <w:marRight w:val="0"/>
              <w:marTop w:val="0"/>
              <w:marBottom w:val="0"/>
              <w:divBdr>
                <w:top w:val="none" w:sz="0" w:space="0" w:color="auto"/>
                <w:left w:val="none" w:sz="0" w:space="0" w:color="auto"/>
                <w:bottom w:val="none" w:sz="0" w:space="0" w:color="auto"/>
                <w:right w:val="none" w:sz="0" w:space="0" w:color="auto"/>
              </w:divBdr>
            </w:div>
            <w:div w:id="601259441">
              <w:marLeft w:val="0"/>
              <w:marRight w:val="0"/>
              <w:marTop w:val="0"/>
              <w:marBottom w:val="0"/>
              <w:divBdr>
                <w:top w:val="none" w:sz="0" w:space="0" w:color="auto"/>
                <w:left w:val="none" w:sz="0" w:space="0" w:color="auto"/>
                <w:bottom w:val="none" w:sz="0" w:space="0" w:color="auto"/>
                <w:right w:val="none" w:sz="0" w:space="0" w:color="auto"/>
              </w:divBdr>
            </w:div>
            <w:div w:id="2120373713">
              <w:marLeft w:val="0"/>
              <w:marRight w:val="0"/>
              <w:marTop w:val="0"/>
              <w:marBottom w:val="0"/>
              <w:divBdr>
                <w:top w:val="none" w:sz="0" w:space="0" w:color="auto"/>
                <w:left w:val="none" w:sz="0" w:space="0" w:color="auto"/>
                <w:bottom w:val="none" w:sz="0" w:space="0" w:color="auto"/>
                <w:right w:val="none" w:sz="0" w:space="0" w:color="auto"/>
              </w:divBdr>
              <w:divsChild>
                <w:div w:id="668025040">
                  <w:marLeft w:val="0"/>
                  <w:marRight w:val="0"/>
                  <w:marTop w:val="0"/>
                  <w:marBottom w:val="0"/>
                  <w:divBdr>
                    <w:top w:val="none" w:sz="0" w:space="0" w:color="auto"/>
                    <w:left w:val="none" w:sz="0" w:space="0" w:color="auto"/>
                    <w:bottom w:val="none" w:sz="0" w:space="0" w:color="auto"/>
                    <w:right w:val="none" w:sz="0" w:space="0" w:color="auto"/>
                  </w:divBdr>
                </w:div>
              </w:divsChild>
            </w:div>
            <w:div w:id="190263968">
              <w:marLeft w:val="0"/>
              <w:marRight w:val="0"/>
              <w:marTop w:val="0"/>
              <w:marBottom w:val="0"/>
              <w:divBdr>
                <w:top w:val="none" w:sz="0" w:space="0" w:color="auto"/>
                <w:left w:val="none" w:sz="0" w:space="0" w:color="auto"/>
                <w:bottom w:val="none" w:sz="0" w:space="0" w:color="auto"/>
                <w:right w:val="none" w:sz="0" w:space="0" w:color="auto"/>
              </w:divBdr>
              <w:divsChild>
                <w:div w:id="1897008557">
                  <w:marLeft w:val="0"/>
                  <w:marRight w:val="0"/>
                  <w:marTop w:val="0"/>
                  <w:marBottom w:val="0"/>
                  <w:divBdr>
                    <w:top w:val="none" w:sz="0" w:space="0" w:color="auto"/>
                    <w:left w:val="none" w:sz="0" w:space="0" w:color="auto"/>
                    <w:bottom w:val="none" w:sz="0" w:space="0" w:color="auto"/>
                    <w:right w:val="none" w:sz="0" w:space="0" w:color="auto"/>
                  </w:divBdr>
                </w:div>
                <w:div w:id="787046739">
                  <w:marLeft w:val="0"/>
                  <w:marRight w:val="0"/>
                  <w:marTop w:val="0"/>
                  <w:marBottom w:val="0"/>
                  <w:divBdr>
                    <w:top w:val="none" w:sz="0" w:space="0" w:color="auto"/>
                    <w:left w:val="none" w:sz="0" w:space="0" w:color="auto"/>
                    <w:bottom w:val="none" w:sz="0" w:space="0" w:color="auto"/>
                    <w:right w:val="none" w:sz="0" w:space="0" w:color="auto"/>
                  </w:divBdr>
                </w:div>
                <w:div w:id="1293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1</cp:revision>
  <dcterms:created xsi:type="dcterms:W3CDTF">2023-02-22T18:38:00Z</dcterms:created>
  <dcterms:modified xsi:type="dcterms:W3CDTF">2023-02-22T18:45:00Z</dcterms:modified>
</cp:coreProperties>
</file>