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5B" w:rsidRPr="004952E2" w:rsidRDefault="00B8385B" w:rsidP="00B8385B">
      <w:pPr>
        <w:autoSpaceDE w:val="0"/>
        <w:autoSpaceDN w:val="0"/>
        <w:adjustRightInd w:val="0"/>
        <w:spacing w:after="0" w:line="240" w:lineRule="auto"/>
        <w:rPr>
          <w:rFonts w:ascii="Rockwell" w:hAnsi="Rockwell" w:cs="Arial"/>
          <w:b/>
          <w:bCs/>
        </w:rPr>
      </w:pPr>
    </w:p>
    <w:p w:rsidR="00B8385B" w:rsidRDefault="00B8385B" w:rsidP="00B8385B">
      <w:pPr>
        <w:autoSpaceDE w:val="0"/>
        <w:autoSpaceDN w:val="0"/>
        <w:adjustRightInd w:val="0"/>
        <w:spacing w:after="0" w:line="240" w:lineRule="auto"/>
        <w:rPr>
          <w:rFonts w:ascii="Rockwell" w:hAnsi="Rockwell" w:cs="Arial"/>
          <w:b/>
          <w:bCs/>
        </w:rPr>
      </w:pPr>
      <w:r w:rsidRPr="004952E2">
        <w:rPr>
          <w:rFonts w:ascii="Rockwell" w:hAnsi="Rockwell" w:cs="Arial"/>
          <w:b/>
          <w:bCs/>
        </w:rPr>
        <w:t>Fixed Asset Policy</w:t>
      </w:r>
    </w:p>
    <w:p w:rsidR="00DD2181" w:rsidRPr="00DD2181" w:rsidRDefault="00DD2181" w:rsidP="00B8385B">
      <w:pPr>
        <w:autoSpaceDE w:val="0"/>
        <w:autoSpaceDN w:val="0"/>
        <w:adjustRightInd w:val="0"/>
        <w:spacing w:after="0" w:line="240" w:lineRule="auto"/>
        <w:rPr>
          <w:rFonts w:ascii="Rockwell" w:hAnsi="Rockwell" w:cs="Arial"/>
          <w:bCs/>
        </w:rPr>
      </w:pPr>
      <w:r w:rsidRPr="00DD2181">
        <w:rPr>
          <w:rFonts w:ascii="Rockwell" w:hAnsi="Rockwell" w:cs="Arial"/>
          <w:bCs/>
        </w:rPr>
        <w:t>Proposed 2/8/2</w:t>
      </w:r>
      <w:bookmarkStart w:id="0" w:name="_GoBack"/>
      <w:bookmarkEnd w:id="0"/>
      <w:r w:rsidRPr="00DD2181">
        <w:rPr>
          <w:rFonts w:ascii="Rockwell" w:hAnsi="Rockwell" w:cs="Arial"/>
          <w:bCs/>
        </w:rPr>
        <w:t>023</w:t>
      </w:r>
    </w:p>
    <w:p w:rsidR="00A642BB" w:rsidRPr="004952E2" w:rsidRDefault="00A642BB" w:rsidP="00B8385B">
      <w:pPr>
        <w:autoSpaceDE w:val="0"/>
        <w:autoSpaceDN w:val="0"/>
        <w:adjustRightInd w:val="0"/>
        <w:spacing w:after="0" w:line="240" w:lineRule="auto"/>
        <w:rPr>
          <w:rFonts w:ascii="Rockwell" w:hAnsi="Rockwell" w:cs="Arial"/>
          <w:b/>
          <w:bCs/>
        </w:rPr>
      </w:pPr>
    </w:p>
    <w:p w:rsidR="00B8385B" w:rsidRPr="004952E2" w:rsidRDefault="00A642BB" w:rsidP="00B8385B">
      <w:pPr>
        <w:autoSpaceDE w:val="0"/>
        <w:autoSpaceDN w:val="0"/>
        <w:adjustRightInd w:val="0"/>
        <w:spacing w:after="0" w:line="240" w:lineRule="auto"/>
        <w:rPr>
          <w:rFonts w:ascii="Rockwell" w:hAnsi="Rockwell" w:cs="GillSansMT"/>
        </w:rPr>
      </w:pPr>
      <w:r w:rsidRPr="004952E2">
        <w:rPr>
          <w:rFonts w:ascii="Rockwell" w:hAnsi="Rockwell" w:cs="GillSansMT"/>
        </w:rPr>
        <w:t>It is the policy of Chillicothe &amp; Ross County Public Library to maintain accurate records of fixed, or capital,</w:t>
      </w:r>
      <w:r w:rsidR="00452D20" w:rsidRPr="004952E2">
        <w:rPr>
          <w:rFonts w:ascii="Rockwell" w:hAnsi="Rockwell" w:cs="GillSansMT"/>
        </w:rPr>
        <w:t xml:space="preserve"> assets</w:t>
      </w:r>
      <w:r w:rsidR="005676F4" w:rsidRPr="004952E2">
        <w:rPr>
          <w:rFonts w:ascii="Rockwell" w:hAnsi="Rockwell" w:cs="GillSansMT"/>
        </w:rPr>
        <w:t xml:space="preserve">. The fixed </w:t>
      </w:r>
      <w:r w:rsidRPr="004952E2">
        <w:rPr>
          <w:rFonts w:ascii="Rockwell" w:hAnsi="Rockwell" w:cs="GillSansMT"/>
        </w:rPr>
        <w:t>asset program shall be administered by the Chief Fiscal Officer</w:t>
      </w:r>
      <w:r w:rsidR="00C00B89" w:rsidRPr="004952E2">
        <w:rPr>
          <w:rFonts w:ascii="Rockwell" w:hAnsi="Rockwell" w:cs="GillSansMT"/>
        </w:rPr>
        <w:t xml:space="preserve"> and shall</w:t>
      </w:r>
      <w:r w:rsidR="00A161AA" w:rsidRPr="004952E2">
        <w:rPr>
          <w:rFonts w:ascii="Rockwell" w:hAnsi="Rockwell" w:cs="GillSansMT"/>
        </w:rPr>
        <w:t xml:space="preserve"> </w:t>
      </w:r>
      <w:r w:rsidR="00C00B89" w:rsidRPr="004952E2">
        <w:rPr>
          <w:rFonts w:ascii="Rockwell" w:hAnsi="Rockwell" w:cs="GillSansMT"/>
        </w:rPr>
        <w:t>contain sufficient information to permit</w:t>
      </w:r>
      <w:r w:rsidRPr="004952E2">
        <w:rPr>
          <w:rFonts w:ascii="Rockwell" w:hAnsi="Rockwell" w:cs="GillSansMT"/>
        </w:rPr>
        <w:t xml:space="preserve">: </w:t>
      </w:r>
    </w:p>
    <w:p w:rsidR="00C00B89" w:rsidRPr="004952E2" w:rsidRDefault="00C00B89" w:rsidP="00C00B89">
      <w:pPr>
        <w:pStyle w:val="ListParagraph"/>
        <w:numPr>
          <w:ilvl w:val="0"/>
          <w:numId w:val="6"/>
        </w:numPr>
        <w:autoSpaceDE w:val="0"/>
        <w:autoSpaceDN w:val="0"/>
        <w:adjustRightInd w:val="0"/>
        <w:spacing w:after="0" w:line="240" w:lineRule="auto"/>
        <w:rPr>
          <w:rFonts w:ascii="Rockwell" w:hAnsi="Rockwell" w:cs="GillSansMT"/>
        </w:rPr>
      </w:pPr>
      <w:r w:rsidRPr="004952E2">
        <w:rPr>
          <w:rFonts w:ascii="Rockwell" w:hAnsi="Rockwell" w:cs="GillSansMT"/>
        </w:rPr>
        <w:t>Identification and cost of the fixed asset</w:t>
      </w:r>
    </w:p>
    <w:p w:rsidR="00C00B89" w:rsidRPr="004952E2" w:rsidRDefault="00C00B89" w:rsidP="00C00B89">
      <w:pPr>
        <w:pStyle w:val="ListParagraph"/>
        <w:numPr>
          <w:ilvl w:val="0"/>
          <w:numId w:val="6"/>
        </w:numPr>
        <w:autoSpaceDE w:val="0"/>
        <w:autoSpaceDN w:val="0"/>
        <w:adjustRightInd w:val="0"/>
        <w:spacing w:after="0" w:line="240" w:lineRule="auto"/>
        <w:rPr>
          <w:rFonts w:ascii="Rockwell" w:hAnsi="Rockwell" w:cs="GillSansMT"/>
        </w:rPr>
      </w:pPr>
      <w:r w:rsidRPr="004952E2">
        <w:rPr>
          <w:rFonts w:ascii="Rockwell" w:hAnsi="Rockwell" w:cs="GillSansMT"/>
        </w:rPr>
        <w:t>Adequate insurance coverage and</w:t>
      </w:r>
      <w:r w:rsidR="005676F4" w:rsidRPr="004952E2">
        <w:rPr>
          <w:rFonts w:ascii="Rockwell" w:hAnsi="Rockwell" w:cs="GillSansMT"/>
        </w:rPr>
        <w:t xml:space="preserve"> records in the event of a loss</w:t>
      </w:r>
    </w:p>
    <w:p w:rsidR="00C00B89" w:rsidRPr="004952E2" w:rsidRDefault="00C00B89" w:rsidP="005676F4">
      <w:pPr>
        <w:pStyle w:val="ListParagraph"/>
        <w:numPr>
          <w:ilvl w:val="0"/>
          <w:numId w:val="6"/>
        </w:numPr>
        <w:autoSpaceDE w:val="0"/>
        <w:autoSpaceDN w:val="0"/>
        <w:adjustRightInd w:val="0"/>
        <w:spacing w:after="0" w:line="240" w:lineRule="auto"/>
        <w:rPr>
          <w:rFonts w:ascii="Rockwell" w:hAnsi="Rockwell" w:cs="GillSansMT"/>
        </w:rPr>
      </w:pPr>
      <w:r w:rsidRPr="004952E2">
        <w:rPr>
          <w:rFonts w:ascii="Rockwell" w:hAnsi="Rockwell" w:cs="GillSansMT"/>
        </w:rPr>
        <w:t>Control and accountability of a</w:t>
      </w:r>
      <w:r w:rsidR="005676F4" w:rsidRPr="004952E2">
        <w:rPr>
          <w:rFonts w:ascii="Rockwell" w:hAnsi="Rockwell" w:cs="GillSansMT"/>
        </w:rPr>
        <w:t>ssets for the Board of Trustees</w:t>
      </w:r>
    </w:p>
    <w:p w:rsidR="00C00B89" w:rsidRPr="004952E2" w:rsidRDefault="00C00B89" w:rsidP="00B8385B">
      <w:pPr>
        <w:autoSpaceDE w:val="0"/>
        <w:autoSpaceDN w:val="0"/>
        <w:adjustRightInd w:val="0"/>
        <w:spacing w:after="0" w:line="240" w:lineRule="auto"/>
        <w:rPr>
          <w:rFonts w:ascii="Rockwell" w:hAnsi="Rockwell" w:cs="GillSansMT"/>
        </w:rPr>
      </w:pPr>
    </w:p>
    <w:p w:rsidR="00C00B89" w:rsidRPr="004952E2" w:rsidRDefault="00452D20" w:rsidP="00B8385B">
      <w:pPr>
        <w:autoSpaceDE w:val="0"/>
        <w:autoSpaceDN w:val="0"/>
        <w:adjustRightInd w:val="0"/>
        <w:spacing w:after="0" w:line="240" w:lineRule="auto"/>
        <w:rPr>
          <w:rFonts w:ascii="Rockwell" w:hAnsi="Rockwell" w:cs="GillSansMT"/>
          <w:b/>
        </w:rPr>
      </w:pPr>
      <w:r w:rsidRPr="004952E2">
        <w:rPr>
          <w:rFonts w:ascii="Rockwell" w:hAnsi="Rockwell" w:cs="GillSansMT"/>
          <w:b/>
        </w:rPr>
        <w:t>Records of fixed assets shall include:</w:t>
      </w:r>
    </w:p>
    <w:p w:rsidR="00A642BB" w:rsidRPr="004952E2" w:rsidRDefault="00A642BB" w:rsidP="00B8385B">
      <w:pPr>
        <w:autoSpaceDE w:val="0"/>
        <w:autoSpaceDN w:val="0"/>
        <w:adjustRightInd w:val="0"/>
        <w:spacing w:after="0" w:line="240" w:lineRule="auto"/>
        <w:rPr>
          <w:rFonts w:ascii="Rockwell" w:hAnsi="Rockwell" w:cs="GillSansMT"/>
        </w:rPr>
      </w:pPr>
    </w:p>
    <w:p w:rsidR="00A642BB" w:rsidRPr="004952E2" w:rsidRDefault="00A642BB" w:rsidP="00452D20">
      <w:pPr>
        <w:pStyle w:val="ListParagraph"/>
        <w:numPr>
          <w:ilvl w:val="0"/>
          <w:numId w:val="9"/>
        </w:numPr>
        <w:autoSpaceDE w:val="0"/>
        <w:autoSpaceDN w:val="0"/>
        <w:adjustRightInd w:val="0"/>
        <w:spacing w:after="0" w:line="240" w:lineRule="auto"/>
        <w:rPr>
          <w:rFonts w:ascii="Rockwell" w:hAnsi="Rockwell" w:cs="GillSansMT"/>
        </w:rPr>
      </w:pPr>
      <w:r w:rsidRPr="004952E2">
        <w:rPr>
          <w:rFonts w:ascii="Rockwell" w:hAnsi="Rockwell" w:cs="GillSansMT"/>
          <w:b/>
        </w:rPr>
        <w:t>Building List</w:t>
      </w:r>
      <w:r w:rsidRPr="004952E2">
        <w:rPr>
          <w:rFonts w:ascii="Rockwell" w:hAnsi="Rockwell" w:cs="GillSansMT"/>
        </w:rPr>
        <w:t xml:space="preserve"> of library-owned buildings </w:t>
      </w:r>
      <w:r w:rsidR="00A161AA" w:rsidRPr="004952E2">
        <w:rPr>
          <w:rFonts w:ascii="Rockwell" w:hAnsi="Rockwell" w:cs="GillSansMT"/>
        </w:rPr>
        <w:t>to be updated annually</w:t>
      </w:r>
      <w:r w:rsidRPr="004952E2">
        <w:rPr>
          <w:rFonts w:ascii="Rockwell" w:hAnsi="Rockwell" w:cs="GillSansMT"/>
        </w:rPr>
        <w:t>:</w:t>
      </w:r>
    </w:p>
    <w:p w:rsidR="00A642BB" w:rsidRPr="004952E2" w:rsidRDefault="00A642BB" w:rsidP="00A642BB">
      <w:pPr>
        <w:pStyle w:val="ListParagraph"/>
        <w:numPr>
          <w:ilvl w:val="0"/>
          <w:numId w:val="3"/>
        </w:numPr>
        <w:autoSpaceDE w:val="0"/>
        <w:autoSpaceDN w:val="0"/>
        <w:adjustRightInd w:val="0"/>
        <w:spacing w:after="0" w:line="240" w:lineRule="auto"/>
        <w:rPr>
          <w:rFonts w:ascii="Rockwell" w:hAnsi="Rockwell" w:cs="GillSansMT"/>
        </w:rPr>
      </w:pPr>
      <w:r w:rsidRPr="004952E2">
        <w:rPr>
          <w:rFonts w:ascii="Rockwell" w:hAnsi="Rockwell" w:cs="GillSansMT"/>
        </w:rPr>
        <w:t>Year constructed and year(s) of any major alterations/additions</w:t>
      </w:r>
    </w:p>
    <w:p w:rsidR="00A642BB" w:rsidRPr="004952E2" w:rsidRDefault="00A642BB" w:rsidP="00A642BB">
      <w:pPr>
        <w:pStyle w:val="ListParagraph"/>
        <w:numPr>
          <w:ilvl w:val="0"/>
          <w:numId w:val="3"/>
        </w:numPr>
        <w:autoSpaceDE w:val="0"/>
        <w:autoSpaceDN w:val="0"/>
        <w:adjustRightInd w:val="0"/>
        <w:spacing w:after="0" w:line="240" w:lineRule="auto"/>
        <w:rPr>
          <w:rFonts w:ascii="Rockwell" w:hAnsi="Rockwell" w:cs="GillSansMT"/>
        </w:rPr>
      </w:pPr>
      <w:r w:rsidRPr="004952E2">
        <w:rPr>
          <w:rFonts w:ascii="Rockwell" w:hAnsi="Rockwell" w:cs="GillSansMT"/>
        </w:rPr>
        <w:t>Square footage</w:t>
      </w:r>
    </w:p>
    <w:p w:rsidR="00A642BB" w:rsidRPr="004952E2" w:rsidRDefault="00A642BB" w:rsidP="00A642BB">
      <w:pPr>
        <w:pStyle w:val="ListParagraph"/>
        <w:numPr>
          <w:ilvl w:val="0"/>
          <w:numId w:val="3"/>
        </w:numPr>
        <w:autoSpaceDE w:val="0"/>
        <w:autoSpaceDN w:val="0"/>
        <w:adjustRightInd w:val="0"/>
        <w:spacing w:after="0" w:line="240" w:lineRule="auto"/>
        <w:rPr>
          <w:rFonts w:ascii="Rockwell" w:hAnsi="Rockwell" w:cs="GillSansMT"/>
        </w:rPr>
      </w:pPr>
      <w:r w:rsidRPr="004952E2">
        <w:rPr>
          <w:rFonts w:ascii="Rockwell" w:hAnsi="Rockwell" w:cs="GillSansMT"/>
        </w:rPr>
        <w:t>Type of construction</w:t>
      </w:r>
    </w:p>
    <w:p w:rsidR="00A642BB" w:rsidRPr="004952E2" w:rsidRDefault="00A642BB" w:rsidP="00A642BB">
      <w:pPr>
        <w:pStyle w:val="ListParagraph"/>
        <w:numPr>
          <w:ilvl w:val="0"/>
          <w:numId w:val="3"/>
        </w:numPr>
        <w:autoSpaceDE w:val="0"/>
        <w:autoSpaceDN w:val="0"/>
        <w:adjustRightInd w:val="0"/>
        <w:spacing w:after="0" w:line="240" w:lineRule="auto"/>
        <w:rPr>
          <w:rFonts w:ascii="Rockwell" w:hAnsi="Rockwell" w:cs="GillSansMT"/>
        </w:rPr>
      </w:pPr>
      <w:r w:rsidRPr="004952E2">
        <w:rPr>
          <w:rFonts w:ascii="Rockwell" w:hAnsi="Rockwell" w:cs="GillSansMT"/>
        </w:rPr>
        <w:t>Purpose of structure</w:t>
      </w:r>
    </w:p>
    <w:p w:rsidR="00A642BB" w:rsidRPr="004952E2" w:rsidRDefault="00A642BB" w:rsidP="00A642BB">
      <w:pPr>
        <w:pStyle w:val="ListParagraph"/>
        <w:numPr>
          <w:ilvl w:val="0"/>
          <w:numId w:val="3"/>
        </w:numPr>
        <w:autoSpaceDE w:val="0"/>
        <w:autoSpaceDN w:val="0"/>
        <w:adjustRightInd w:val="0"/>
        <w:spacing w:after="0" w:line="240" w:lineRule="auto"/>
        <w:rPr>
          <w:rFonts w:ascii="Rockwell" w:hAnsi="Rockwell" w:cs="GillSansMT"/>
        </w:rPr>
      </w:pPr>
      <w:r w:rsidRPr="004952E2">
        <w:rPr>
          <w:rFonts w:ascii="Rockwell" w:hAnsi="Rockwell" w:cs="GillSansMT"/>
        </w:rPr>
        <w:t>Latest valuation of building</w:t>
      </w:r>
    </w:p>
    <w:p w:rsidR="00A642BB" w:rsidRPr="004952E2" w:rsidRDefault="00A642BB" w:rsidP="00A642BB">
      <w:pPr>
        <w:autoSpaceDE w:val="0"/>
        <w:autoSpaceDN w:val="0"/>
        <w:adjustRightInd w:val="0"/>
        <w:spacing w:after="0" w:line="240" w:lineRule="auto"/>
        <w:rPr>
          <w:rFonts w:ascii="Rockwell" w:hAnsi="Rockwell" w:cs="GillSansMT"/>
        </w:rPr>
      </w:pPr>
    </w:p>
    <w:p w:rsidR="00A642BB" w:rsidRPr="004952E2" w:rsidRDefault="00A642BB" w:rsidP="00452D20">
      <w:pPr>
        <w:pStyle w:val="ListParagraph"/>
        <w:numPr>
          <w:ilvl w:val="0"/>
          <w:numId w:val="9"/>
        </w:numPr>
        <w:autoSpaceDE w:val="0"/>
        <w:autoSpaceDN w:val="0"/>
        <w:adjustRightInd w:val="0"/>
        <w:spacing w:after="0" w:line="240" w:lineRule="auto"/>
        <w:rPr>
          <w:rFonts w:ascii="Rockwell" w:hAnsi="Rockwell" w:cs="GillSansMT"/>
        </w:rPr>
      </w:pPr>
      <w:r w:rsidRPr="004952E2">
        <w:rPr>
          <w:rFonts w:ascii="Rockwell" w:hAnsi="Rockwell" w:cs="GillSansMT"/>
          <w:b/>
        </w:rPr>
        <w:t>Asset Inventory</w:t>
      </w:r>
      <w:r w:rsidRPr="004952E2">
        <w:rPr>
          <w:rFonts w:ascii="Rockwell" w:hAnsi="Rockwell" w:cs="GillSansMT"/>
        </w:rPr>
        <w:t xml:space="preserve"> </w:t>
      </w:r>
      <w:r w:rsidR="00A161AA" w:rsidRPr="004952E2">
        <w:rPr>
          <w:rFonts w:ascii="Rockwell" w:hAnsi="Rockwell" w:cs="GillSansMT"/>
        </w:rPr>
        <w:t>of items having a useful life greater than one year and an initial cost</w:t>
      </w:r>
      <w:r w:rsidR="00C00B89" w:rsidRPr="004952E2">
        <w:rPr>
          <w:rFonts w:ascii="Rockwell" w:hAnsi="Rockwell" w:cs="GillSansMT"/>
        </w:rPr>
        <w:t xml:space="preserve"> of $500 or greater. </w:t>
      </w:r>
      <w:r w:rsidR="00A161AA" w:rsidRPr="004952E2">
        <w:rPr>
          <w:rFonts w:ascii="Rockwell" w:hAnsi="Rockwell" w:cs="GillSansMT"/>
        </w:rPr>
        <w:t xml:space="preserve">This includes assets such as vehicles, furniture, computer equipment, phone systems, etc. </w:t>
      </w:r>
    </w:p>
    <w:p w:rsidR="00A161AA" w:rsidRPr="004952E2" w:rsidRDefault="00A161AA" w:rsidP="00A161AA">
      <w:pPr>
        <w:pStyle w:val="ListParagraph"/>
        <w:numPr>
          <w:ilvl w:val="0"/>
          <w:numId w:val="4"/>
        </w:numPr>
        <w:autoSpaceDE w:val="0"/>
        <w:autoSpaceDN w:val="0"/>
        <w:adjustRightInd w:val="0"/>
        <w:spacing w:after="0" w:line="240" w:lineRule="auto"/>
        <w:rPr>
          <w:rFonts w:ascii="Rockwell" w:hAnsi="Rockwell" w:cs="GillSansMT"/>
        </w:rPr>
      </w:pPr>
      <w:r w:rsidRPr="004952E2">
        <w:rPr>
          <w:rFonts w:ascii="Rockwell" w:hAnsi="Rockwell" w:cs="GillSansMT"/>
        </w:rPr>
        <w:t>I</w:t>
      </w:r>
      <w:r w:rsidR="00452D20" w:rsidRPr="004952E2">
        <w:rPr>
          <w:rFonts w:ascii="Rockwell" w:hAnsi="Rockwell" w:cs="GillSansMT"/>
        </w:rPr>
        <w:t>nformation recorded shall</w:t>
      </w:r>
      <w:r w:rsidRPr="004952E2">
        <w:rPr>
          <w:rFonts w:ascii="Rockwell" w:hAnsi="Rockwell" w:cs="GillSansMT"/>
        </w:rPr>
        <w:t xml:space="preserve"> include: Item description, serial/VIN number, asset (inventory) tag number, initial cost, current location</w:t>
      </w:r>
    </w:p>
    <w:p w:rsidR="00FB6D66" w:rsidRPr="004952E2" w:rsidRDefault="00452D20" w:rsidP="00FB6D66">
      <w:pPr>
        <w:pStyle w:val="ListParagraph"/>
        <w:numPr>
          <w:ilvl w:val="0"/>
          <w:numId w:val="4"/>
        </w:numPr>
        <w:autoSpaceDE w:val="0"/>
        <w:autoSpaceDN w:val="0"/>
        <w:adjustRightInd w:val="0"/>
        <w:spacing w:after="0" w:line="240" w:lineRule="auto"/>
        <w:rPr>
          <w:rFonts w:ascii="Rockwell" w:hAnsi="Rockwell" w:cs="GillSansMT"/>
        </w:rPr>
      </w:pPr>
      <w:r w:rsidRPr="004952E2">
        <w:rPr>
          <w:rFonts w:ascii="Rockwell" w:hAnsi="Rockwell" w:cs="GillSansMT"/>
        </w:rPr>
        <w:t xml:space="preserve">Computers and related equipment may be maintained by the IT Manager as part of a dedicated IT inventory list </w:t>
      </w:r>
    </w:p>
    <w:p w:rsidR="005676F4" w:rsidRPr="004952E2" w:rsidRDefault="005676F4" w:rsidP="005676F4">
      <w:pPr>
        <w:pStyle w:val="ListParagraph"/>
        <w:autoSpaceDE w:val="0"/>
        <w:autoSpaceDN w:val="0"/>
        <w:adjustRightInd w:val="0"/>
        <w:spacing w:after="0" w:line="240" w:lineRule="auto"/>
        <w:ind w:left="1080"/>
        <w:rPr>
          <w:rFonts w:ascii="Rockwell" w:hAnsi="Rockwell" w:cs="GillSansMT"/>
        </w:rPr>
      </w:pPr>
    </w:p>
    <w:p w:rsidR="00FB6D66" w:rsidRPr="004952E2" w:rsidRDefault="00FB6D66" w:rsidP="00FB6D66">
      <w:pPr>
        <w:pStyle w:val="ListParagraph"/>
        <w:numPr>
          <w:ilvl w:val="0"/>
          <w:numId w:val="9"/>
        </w:numPr>
        <w:autoSpaceDE w:val="0"/>
        <w:autoSpaceDN w:val="0"/>
        <w:adjustRightInd w:val="0"/>
        <w:spacing w:after="0" w:line="240" w:lineRule="auto"/>
        <w:rPr>
          <w:rFonts w:ascii="Rockwell" w:hAnsi="Rockwell" w:cs="GillSansMT"/>
          <w:b/>
        </w:rPr>
      </w:pPr>
      <w:r w:rsidRPr="004952E2">
        <w:rPr>
          <w:rFonts w:ascii="Rockwell" w:hAnsi="Rockwell" w:cs="GillSansMT"/>
          <w:b/>
        </w:rPr>
        <w:t xml:space="preserve">Data Processing Software List </w:t>
      </w:r>
      <w:r w:rsidRPr="004952E2">
        <w:rPr>
          <w:rFonts w:ascii="Rockwell" w:hAnsi="Rockwell" w:cs="GillSansMT"/>
        </w:rPr>
        <w:t>sufficient for insurance and audit purposes. Backups of business-necessary software shall be completed often and protected/stored offsite as necessary.</w:t>
      </w:r>
    </w:p>
    <w:p w:rsidR="00FB6D66" w:rsidRPr="004952E2" w:rsidRDefault="00FB6D66" w:rsidP="00FB6D66">
      <w:pPr>
        <w:pStyle w:val="ListParagraph"/>
        <w:autoSpaceDE w:val="0"/>
        <w:autoSpaceDN w:val="0"/>
        <w:adjustRightInd w:val="0"/>
        <w:spacing w:after="0" w:line="240" w:lineRule="auto"/>
        <w:rPr>
          <w:rFonts w:ascii="Rockwell" w:hAnsi="Rockwell" w:cs="GillSansMT"/>
          <w:b/>
        </w:rPr>
      </w:pPr>
    </w:p>
    <w:p w:rsidR="00FB6D66" w:rsidRPr="004952E2" w:rsidRDefault="00FB6D66" w:rsidP="00FB6D66">
      <w:pPr>
        <w:pStyle w:val="ListParagraph"/>
        <w:numPr>
          <w:ilvl w:val="0"/>
          <w:numId w:val="9"/>
        </w:numPr>
        <w:autoSpaceDE w:val="0"/>
        <w:autoSpaceDN w:val="0"/>
        <w:adjustRightInd w:val="0"/>
        <w:spacing w:after="0" w:line="240" w:lineRule="auto"/>
        <w:rPr>
          <w:rFonts w:ascii="Rockwell" w:hAnsi="Rockwell" w:cs="GillSansMT"/>
          <w:b/>
        </w:rPr>
      </w:pPr>
      <w:r w:rsidRPr="004952E2">
        <w:rPr>
          <w:rFonts w:ascii="Rockwell" w:hAnsi="Rockwell" w:cs="GillSansMT"/>
          <w:b/>
        </w:rPr>
        <w:t xml:space="preserve">Non-Circulating Valuable Artwork List </w:t>
      </w:r>
      <w:r w:rsidRPr="004952E2">
        <w:rPr>
          <w:rFonts w:ascii="Rockwell" w:hAnsi="Rockwell" w:cs="GillSansMT"/>
        </w:rPr>
        <w:t>to include artist, date, and appraised value, if applicable.</w:t>
      </w:r>
    </w:p>
    <w:p w:rsidR="00FB6D66" w:rsidRPr="004952E2" w:rsidRDefault="00FB6D66" w:rsidP="00FB6D66">
      <w:pPr>
        <w:pStyle w:val="ListParagraph"/>
        <w:rPr>
          <w:rFonts w:ascii="Rockwell" w:hAnsi="Rockwell" w:cs="GillSansMT"/>
          <w:b/>
        </w:rPr>
      </w:pPr>
    </w:p>
    <w:p w:rsidR="00FB6D66" w:rsidRPr="004952E2" w:rsidRDefault="00FB6D66" w:rsidP="00FB6D66">
      <w:pPr>
        <w:pStyle w:val="ListParagraph"/>
        <w:numPr>
          <w:ilvl w:val="0"/>
          <w:numId w:val="9"/>
        </w:numPr>
        <w:autoSpaceDE w:val="0"/>
        <w:autoSpaceDN w:val="0"/>
        <w:adjustRightInd w:val="0"/>
        <w:spacing w:after="0" w:line="240" w:lineRule="auto"/>
        <w:rPr>
          <w:rFonts w:ascii="Rockwell" w:hAnsi="Rockwell" w:cs="GillSansMT"/>
          <w:b/>
        </w:rPr>
      </w:pPr>
      <w:r w:rsidRPr="004952E2">
        <w:rPr>
          <w:rFonts w:ascii="Rockwell" w:hAnsi="Rockwell" w:cs="GillSansMT"/>
          <w:b/>
        </w:rPr>
        <w:t xml:space="preserve">Library Materials List </w:t>
      </w:r>
      <w:r w:rsidRPr="004952E2">
        <w:rPr>
          <w:rFonts w:ascii="Rockwell" w:hAnsi="Rockwell" w:cs="GillSansMT"/>
        </w:rPr>
        <w:t xml:space="preserve">can be created from </w:t>
      </w:r>
      <w:r w:rsidR="005676F4" w:rsidRPr="004952E2">
        <w:rPr>
          <w:rFonts w:ascii="Rockwell" w:hAnsi="Rockwell" w:cs="GillSansMT"/>
        </w:rPr>
        <w:t xml:space="preserve">the circulation system; library materials are not inventoried as part of this policy. However, the Chief Fiscal Officer shall ensure circulated materials are adequately insured.  </w:t>
      </w:r>
    </w:p>
    <w:p w:rsidR="00A642BB" w:rsidRPr="004952E2" w:rsidRDefault="00A642BB" w:rsidP="00B8385B">
      <w:pPr>
        <w:autoSpaceDE w:val="0"/>
        <w:autoSpaceDN w:val="0"/>
        <w:adjustRightInd w:val="0"/>
        <w:spacing w:after="0" w:line="240" w:lineRule="auto"/>
        <w:rPr>
          <w:rFonts w:ascii="Rockwell" w:hAnsi="Rockwell" w:cs="GillSansMT"/>
        </w:rPr>
      </w:pPr>
    </w:p>
    <w:p w:rsidR="00A642BB" w:rsidRPr="004952E2" w:rsidRDefault="00A642BB" w:rsidP="00B8385B">
      <w:pPr>
        <w:autoSpaceDE w:val="0"/>
        <w:autoSpaceDN w:val="0"/>
        <w:adjustRightInd w:val="0"/>
        <w:spacing w:after="0" w:line="240" w:lineRule="auto"/>
        <w:rPr>
          <w:rFonts w:ascii="Rockwell" w:hAnsi="Rockwell" w:cs="GillSansMT"/>
        </w:rPr>
      </w:pPr>
    </w:p>
    <w:p w:rsidR="00A642BB" w:rsidRPr="004952E2" w:rsidRDefault="005676F4" w:rsidP="00B8385B">
      <w:pPr>
        <w:autoSpaceDE w:val="0"/>
        <w:autoSpaceDN w:val="0"/>
        <w:adjustRightInd w:val="0"/>
        <w:spacing w:after="0" w:line="240" w:lineRule="auto"/>
        <w:rPr>
          <w:rFonts w:ascii="Rockwell" w:hAnsi="Rockwell" w:cs="GillSansMT"/>
          <w:b/>
        </w:rPr>
      </w:pPr>
      <w:r w:rsidRPr="004952E2">
        <w:rPr>
          <w:rFonts w:ascii="Rockwell" w:hAnsi="Rockwell" w:cs="GillSansMT"/>
          <w:b/>
        </w:rPr>
        <w:t>Disposal of Assets</w:t>
      </w:r>
      <w:r w:rsidRPr="004952E2">
        <w:rPr>
          <w:rFonts w:ascii="Rockwell" w:eastAsia="Times New Roman" w:hAnsi="Rockwell" w:cs="Times New Roman"/>
          <w:b/>
        </w:rPr>
        <w:tab/>
      </w:r>
    </w:p>
    <w:p w:rsidR="00FB6D66" w:rsidRPr="004952E2" w:rsidRDefault="00FB6D66" w:rsidP="00B8385B">
      <w:pPr>
        <w:autoSpaceDE w:val="0"/>
        <w:autoSpaceDN w:val="0"/>
        <w:adjustRightInd w:val="0"/>
        <w:spacing w:after="0" w:line="240" w:lineRule="auto"/>
        <w:rPr>
          <w:rFonts w:ascii="Rockwell" w:hAnsi="Rockwell" w:cs="GillSansMT"/>
        </w:rPr>
      </w:pPr>
    </w:p>
    <w:p w:rsidR="00B8385B" w:rsidRPr="00B8385B" w:rsidRDefault="005676F4" w:rsidP="00B8385B">
      <w:pPr>
        <w:shd w:val="clear" w:color="auto" w:fill="FFFFFF"/>
        <w:spacing w:after="150" w:line="240" w:lineRule="auto"/>
        <w:rPr>
          <w:rFonts w:ascii="Rockwell" w:eastAsia="Times New Roman" w:hAnsi="Rockwell" w:cs="Helvetica"/>
          <w:color w:val="333333"/>
        </w:rPr>
      </w:pPr>
      <w:r w:rsidRPr="004952E2">
        <w:rPr>
          <w:rFonts w:ascii="Rockwell" w:eastAsia="Times New Roman" w:hAnsi="Rockwell" w:cs="Helvetica"/>
          <w:color w:val="333333"/>
        </w:rPr>
        <w:t>The Executive Director is authorized to</w:t>
      </w:r>
      <w:r w:rsidR="004952E2" w:rsidRPr="004952E2">
        <w:rPr>
          <w:rFonts w:ascii="Rockwell" w:eastAsia="Times New Roman" w:hAnsi="Rockwell" w:cs="Helvetica"/>
          <w:color w:val="333333"/>
        </w:rPr>
        <w:t xml:space="preserve"> approve the sale or disposal</w:t>
      </w:r>
      <w:r w:rsidR="00B8385B" w:rsidRPr="00B8385B">
        <w:rPr>
          <w:rFonts w:ascii="Rockwell" w:eastAsia="Times New Roman" w:hAnsi="Rockwell" w:cs="Helvetica"/>
          <w:color w:val="333333"/>
        </w:rPr>
        <w:t xml:space="preserve"> of library material</w:t>
      </w:r>
      <w:r w:rsidRPr="004952E2">
        <w:rPr>
          <w:rFonts w:ascii="Rockwell" w:eastAsia="Times New Roman" w:hAnsi="Rockwell" w:cs="Helvetica"/>
          <w:color w:val="333333"/>
        </w:rPr>
        <w:t>s</w:t>
      </w:r>
      <w:r w:rsidR="00B8385B" w:rsidRPr="00B8385B">
        <w:rPr>
          <w:rFonts w:ascii="Rockwell" w:eastAsia="Times New Roman" w:hAnsi="Rockwell" w:cs="Helvetica"/>
          <w:color w:val="333333"/>
        </w:rPr>
        <w:t xml:space="preserve">, </w:t>
      </w:r>
      <w:r w:rsidR="004952E2" w:rsidRPr="004952E2">
        <w:rPr>
          <w:rFonts w:ascii="Rockwell" w:eastAsia="Times New Roman" w:hAnsi="Rockwell" w:cs="Helvetica"/>
          <w:color w:val="333333"/>
        </w:rPr>
        <w:t>furniture, and equipment that is</w:t>
      </w:r>
      <w:r w:rsidR="00B8385B" w:rsidRPr="00B8385B">
        <w:rPr>
          <w:rFonts w:ascii="Rockwell" w:eastAsia="Times New Roman" w:hAnsi="Rockwell" w:cs="Helvetica"/>
          <w:color w:val="333333"/>
        </w:rPr>
        <w:t xml:space="preserve"> no longer functional or useful. The </w:t>
      </w:r>
      <w:r w:rsidR="004952E2" w:rsidRPr="004952E2">
        <w:rPr>
          <w:rFonts w:ascii="Rockwell" w:eastAsia="Times New Roman" w:hAnsi="Rockwell" w:cs="Helvetica"/>
          <w:color w:val="333333"/>
        </w:rPr>
        <w:t xml:space="preserve">Chief </w:t>
      </w:r>
      <w:r w:rsidR="00B8385B" w:rsidRPr="00B8385B">
        <w:rPr>
          <w:rFonts w:ascii="Rockwell" w:eastAsia="Times New Roman" w:hAnsi="Rockwell" w:cs="Helvetica"/>
          <w:color w:val="333333"/>
        </w:rPr>
        <w:t xml:space="preserve">Fiscal Officer will </w:t>
      </w:r>
      <w:r w:rsidR="004952E2" w:rsidRPr="004952E2">
        <w:rPr>
          <w:rFonts w:ascii="Rockwell" w:eastAsia="Times New Roman" w:hAnsi="Rockwell" w:cs="Helvetica"/>
          <w:color w:val="333333"/>
        </w:rPr>
        <w:t>administer</w:t>
      </w:r>
      <w:r w:rsidR="00B8385B" w:rsidRPr="00B8385B">
        <w:rPr>
          <w:rFonts w:ascii="Rockwell" w:eastAsia="Times New Roman" w:hAnsi="Rockwell" w:cs="Helvetica"/>
          <w:color w:val="333333"/>
        </w:rPr>
        <w:t xml:space="preserve"> the sale or disposal of such items in the most cost effective and efficient manner. When an item no longer has value to the library, it will be removed from inventory and handled as follows:</w:t>
      </w:r>
    </w:p>
    <w:p w:rsidR="004952E2" w:rsidRPr="004952E2" w:rsidRDefault="00B8385B" w:rsidP="007F6764">
      <w:pPr>
        <w:numPr>
          <w:ilvl w:val="0"/>
          <w:numId w:val="1"/>
        </w:numPr>
        <w:shd w:val="clear" w:color="auto" w:fill="FFFFFF"/>
        <w:spacing w:before="100" w:beforeAutospacing="1" w:after="100" w:afterAutospacing="1" w:line="240" w:lineRule="auto"/>
        <w:rPr>
          <w:rFonts w:ascii="Rockwell" w:eastAsia="Times New Roman" w:hAnsi="Rockwell" w:cs="Helvetica"/>
          <w:color w:val="333333"/>
        </w:rPr>
      </w:pPr>
      <w:r w:rsidRPr="00B8385B">
        <w:rPr>
          <w:rFonts w:ascii="Rockwell" w:eastAsia="Times New Roman" w:hAnsi="Rockwell" w:cs="Helvetica"/>
          <w:color w:val="333333"/>
        </w:rPr>
        <w:lastRenderedPageBreak/>
        <w:t xml:space="preserve">Books and other material, no longer deemed appropriate for the collection, may be donated to the Friends of the Library </w:t>
      </w:r>
      <w:r w:rsidR="00433BFF">
        <w:rPr>
          <w:rFonts w:ascii="Rockwell" w:eastAsia="Times New Roman" w:hAnsi="Rockwell" w:cs="Helvetica"/>
          <w:color w:val="333333"/>
        </w:rPr>
        <w:t>or non-profit charitable organizations</w:t>
      </w:r>
      <w:r w:rsidR="004952E2" w:rsidRPr="004952E2">
        <w:rPr>
          <w:rFonts w:ascii="Rockwell" w:eastAsia="Times New Roman" w:hAnsi="Rockwell" w:cs="Helvetica"/>
          <w:color w:val="333333"/>
        </w:rPr>
        <w:t>.</w:t>
      </w:r>
      <w:r w:rsidRPr="00B8385B">
        <w:rPr>
          <w:rFonts w:ascii="Rockwell" w:eastAsia="Times New Roman" w:hAnsi="Rockwell" w:cs="Helvetica"/>
          <w:color w:val="333333"/>
        </w:rPr>
        <w:t xml:space="preserve"> </w:t>
      </w:r>
    </w:p>
    <w:p w:rsidR="004952E2" w:rsidRPr="004952E2" w:rsidRDefault="00B8385B" w:rsidP="007F6764">
      <w:pPr>
        <w:numPr>
          <w:ilvl w:val="0"/>
          <w:numId w:val="1"/>
        </w:numPr>
        <w:shd w:val="clear" w:color="auto" w:fill="FFFFFF"/>
        <w:spacing w:before="100" w:beforeAutospacing="1" w:after="100" w:afterAutospacing="1" w:line="240" w:lineRule="auto"/>
        <w:rPr>
          <w:rFonts w:ascii="Rockwell" w:eastAsia="Times New Roman" w:hAnsi="Rockwell" w:cs="Helvetica"/>
          <w:color w:val="333333"/>
        </w:rPr>
      </w:pPr>
      <w:r w:rsidRPr="00B8385B">
        <w:rPr>
          <w:rFonts w:ascii="Rockwell" w:eastAsia="Times New Roman" w:hAnsi="Rockwell" w:cs="Helvetica"/>
          <w:color w:val="333333"/>
        </w:rPr>
        <w:t xml:space="preserve">Furniture, equipment, or other items no longer of use to the library may be donated </w:t>
      </w:r>
      <w:r w:rsidR="00D5061D">
        <w:rPr>
          <w:rFonts w:ascii="Rockwell" w:eastAsia="Times New Roman" w:hAnsi="Rockwell" w:cs="Helvetica"/>
          <w:color w:val="333333"/>
        </w:rPr>
        <w:t>to a</w:t>
      </w:r>
      <w:r w:rsidRPr="00B8385B">
        <w:rPr>
          <w:rFonts w:ascii="Rockwell" w:eastAsia="Times New Roman" w:hAnsi="Rockwell" w:cs="Helvetica"/>
          <w:color w:val="333333"/>
        </w:rPr>
        <w:t xml:space="preserve"> non-profit charitable organization to be repurposed.   </w:t>
      </w:r>
    </w:p>
    <w:p w:rsidR="00B8385B" w:rsidRPr="00B8385B" w:rsidRDefault="00B8385B" w:rsidP="007F6764">
      <w:pPr>
        <w:numPr>
          <w:ilvl w:val="0"/>
          <w:numId w:val="1"/>
        </w:numPr>
        <w:shd w:val="clear" w:color="auto" w:fill="FFFFFF"/>
        <w:spacing w:before="100" w:beforeAutospacing="1" w:after="100" w:afterAutospacing="1" w:line="240" w:lineRule="auto"/>
        <w:rPr>
          <w:rFonts w:ascii="Rockwell" w:eastAsia="Times New Roman" w:hAnsi="Rockwell" w:cs="Helvetica"/>
          <w:color w:val="333333"/>
        </w:rPr>
      </w:pPr>
      <w:r w:rsidRPr="00B8385B">
        <w:rPr>
          <w:rFonts w:ascii="Rockwell" w:eastAsia="Times New Roman" w:hAnsi="Rockwell" w:cs="Helvetica"/>
          <w:color w:val="333333"/>
        </w:rPr>
        <w:t xml:space="preserve">Items not </w:t>
      </w:r>
      <w:r w:rsidR="004952E2" w:rsidRPr="004952E2">
        <w:rPr>
          <w:rFonts w:ascii="Rockwell" w:eastAsia="Times New Roman" w:hAnsi="Rockwell" w:cs="Helvetica"/>
          <w:color w:val="333333"/>
        </w:rPr>
        <w:t>donated may</w:t>
      </w:r>
      <w:r w:rsidRPr="00B8385B">
        <w:rPr>
          <w:rFonts w:ascii="Rockwell" w:eastAsia="Times New Roman" w:hAnsi="Rockwell" w:cs="Helvetica"/>
          <w:color w:val="333333"/>
        </w:rPr>
        <w:t xml:space="preserve"> be sold through auction (including on-line auction) or publicly advertised sale with any proceeds from such sale being deposited to the General Fund of the Library. The notification will advise potential buyers that items will be sold as is and must be removed at the buyer’s expense by a specified deadline. Prior to such sale, the </w:t>
      </w:r>
      <w:r w:rsidR="004952E2">
        <w:rPr>
          <w:rFonts w:ascii="Rockwell" w:eastAsia="Times New Roman" w:hAnsi="Rockwell" w:cs="Helvetica"/>
          <w:color w:val="333333"/>
        </w:rPr>
        <w:t xml:space="preserve">Chief </w:t>
      </w:r>
      <w:r w:rsidRPr="00B8385B">
        <w:rPr>
          <w:rFonts w:ascii="Rockwell" w:eastAsia="Times New Roman" w:hAnsi="Rockwell" w:cs="Helvetica"/>
          <w:color w:val="333333"/>
        </w:rPr>
        <w:t>Fiscal Officer will prepare a list of those items to be included in the sale for app</w:t>
      </w:r>
      <w:r w:rsidR="004952E2" w:rsidRPr="004952E2">
        <w:rPr>
          <w:rFonts w:ascii="Rockwell" w:eastAsia="Times New Roman" w:hAnsi="Rockwell" w:cs="Helvetica"/>
          <w:color w:val="333333"/>
        </w:rPr>
        <w:t>roval by the Board of Trustees.</w:t>
      </w:r>
    </w:p>
    <w:p w:rsidR="00B8385B" w:rsidRPr="00B8385B" w:rsidRDefault="00B8385B" w:rsidP="00B8385B">
      <w:pPr>
        <w:numPr>
          <w:ilvl w:val="0"/>
          <w:numId w:val="1"/>
        </w:numPr>
        <w:shd w:val="clear" w:color="auto" w:fill="FFFFFF"/>
        <w:spacing w:before="100" w:beforeAutospacing="1" w:after="100" w:afterAutospacing="1" w:line="240" w:lineRule="auto"/>
        <w:rPr>
          <w:rFonts w:ascii="Rockwell" w:eastAsia="Times New Roman" w:hAnsi="Rockwell" w:cs="Helvetica"/>
          <w:color w:val="333333"/>
        </w:rPr>
      </w:pPr>
      <w:r w:rsidRPr="00B8385B">
        <w:rPr>
          <w:rFonts w:ascii="Rockwell" w:eastAsia="Times New Roman" w:hAnsi="Rockwell" w:cs="Helvetica"/>
          <w:color w:val="333333"/>
        </w:rPr>
        <w:t xml:space="preserve">If an item is determined by the </w:t>
      </w:r>
      <w:r w:rsidR="004952E2" w:rsidRPr="004952E2">
        <w:rPr>
          <w:rFonts w:ascii="Rockwell" w:eastAsia="Times New Roman" w:hAnsi="Rockwell" w:cs="Helvetica"/>
          <w:color w:val="333333"/>
        </w:rPr>
        <w:t xml:space="preserve">Chief </w:t>
      </w:r>
      <w:r w:rsidRPr="00B8385B">
        <w:rPr>
          <w:rFonts w:ascii="Rockwell" w:eastAsia="Times New Roman" w:hAnsi="Rockwell" w:cs="Helvetica"/>
          <w:color w:val="333333"/>
        </w:rPr>
        <w:t>Fiscal Officer to have marginal or no resale value, or it does not sell through auction or publicly advertised sale, it may be sold, recycled, or discarded in the best interest of the library.</w:t>
      </w:r>
    </w:p>
    <w:p w:rsidR="00B8385B" w:rsidRPr="00B8385B" w:rsidRDefault="00B8385B" w:rsidP="00B8385B">
      <w:pPr>
        <w:numPr>
          <w:ilvl w:val="0"/>
          <w:numId w:val="1"/>
        </w:numPr>
        <w:shd w:val="clear" w:color="auto" w:fill="FFFFFF"/>
        <w:spacing w:before="100" w:beforeAutospacing="1" w:after="100" w:afterAutospacing="1" w:line="240" w:lineRule="auto"/>
        <w:rPr>
          <w:rFonts w:ascii="Rockwell" w:eastAsia="Times New Roman" w:hAnsi="Rockwell" w:cs="Helvetica"/>
          <w:color w:val="333333"/>
        </w:rPr>
      </w:pPr>
      <w:r w:rsidRPr="00B8385B">
        <w:rPr>
          <w:rFonts w:ascii="Rockwell" w:eastAsia="Times New Roman" w:hAnsi="Rockwell" w:cs="Helvetica"/>
          <w:color w:val="333333"/>
        </w:rPr>
        <w:t>The</w:t>
      </w:r>
      <w:r w:rsidR="004952E2" w:rsidRPr="004952E2">
        <w:rPr>
          <w:rFonts w:ascii="Rockwell" w:eastAsia="Times New Roman" w:hAnsi="Rockwell" w:cs="Helvetica"/>
          <w:color w:val="333333"/>
        </w:rPr>
        <w:t xml:space="preserve"> Chief </w:t>
      </w:r>
      <w:r w:rsidRPr="00B8385B">
        <w:rPr>
          <w:rFonts w:ascii="Rockwell" w:eastAsia="Times New Roman" w:hAnsi="Rockwell" w:cs="Helvetica"/>
          <w:color w:val="333333"/>
        </w:rPr>
        <w:t>Fiscal Officer is authorized to accept trade-in allowances on any item of equipment being replaced or upgraded for which a trade-in allowance is offered.</w:t>
      </w:r>
    </w:p>
    <w:p w:rsidR="00B8385B" w:rsidRPr="00B8385B" w:rsidRDefault="00B8385B" w:rsidP="00B8385B">
      <w:pPr>
        <w:numPr>
          <w:ilvl w:val="0"/>
          <w:numId w:val="1"/>
        </w:numPr>
        <w:shd w:val="clear" w:color="auto" w:fill="FFFFFF"/>
        <w:spacing w:before="100" w:beforeAutospacing="1" w:after="100" w:afterAutospacing="1" w:line="240" w:lineRule="auto"/>
        <w:rPr>
          <w:rFonts w:ascii="Rockwell" w:eastAsia="Times New Roman" w:hAnsi="Rockwell" w:cs="Helvetica"/>
          <w:color w:val="333333"/>
        </w:rPr>
      </w:pPr>
      <w:r w:rsidRPr="00B8385B">
        <w:rPr>
          <w:rFonts w:ascii="Rockwell" w:eastAsia="Times New Roman" w:hAnsi="Rockwell" w:cs="Helvetica"/>
          <w:color w:val="333333"/>
        </w:rPr>
        <w:t xml:space="preserve">In an instance where an item of surplus inventory is determined by the </w:t>
      </w:r>
      <w:r w:rsidR="004952E2" w:rsidRPr="004952E2">
        <w:rPr>
          <w:rFonts w:ascii="Rockwell" w:eastAsia="Times New Roman" w:hAnsi="Rockwell" w:cs="Helvetica"/>
          <w:color w:val="333333"/>
        </w:rPr>
        <w:t xml:space="preserve">Executive </w:t>
      </w:r>
      <w:r w:rsidRPr="00B8385B">
        <w:rPr>
          <w:rFonts w:ascii="Rockwell" w:eastAsia="Times New Roman" w:hAnsi="Rockwell" w:cs="Helvetica"/>
          <w:color w:val="333333"/>
        </w:rPr>
        <w:t xml:space="preserve">Director or </w:t>
      </w:r>
      <w:r w:rsidR="004952E2" w:rsidRPr="004952E2">
        <w:rPr>
          <w:rFonts w:ascii="Rockwell" w:eastAsia="Times New Roman" w:hAnsi="Rockwell" w:cs="Helvetica"/>
          <w:color w:val="333333"/>
        </w:rPr>
        <w:t xml:space="preserve">Chief </w:t>
      </w:r>
      <w:r w:rsidRPr="00B8385B">
        <w:rPr>
          <w:rFonts w:ascii="Rockwell" w:eastAsia="Times New Roman" w:hAnsi="Rockwell" w:cs="Helvetica"/>
          <w:color w:val="333333"/>
        </w:rPr>
        <w:t>Fiscal Officer to have unusual, historic or artistic value such items may be referred to the Board for determination of value which determination may include the services of a professional appraiser or outside expert opinion.</w:t>
      </w:r>
    </w:p>
    <w:p w:rsidR="00B8385B" w:rsidRDefault="00B8385B"/>
    <w:p w:rsidR="00B8385B" w:rsidRDefault="00B8385B"/>
    <w:sectPr w:rsidR="00B838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6E" w:rsidRDefault="00C6456E" w:rsidP="00F14C15">
      <w:pPr>
        <w:spacing w:after="0" w:line="240" w:lineRule="auto"/>
      </w:pPr>
      <w:r>
        <w:separator/>
      </w:r>
    </w:p>
  </w:endnote>
  <w:endnote w:type="continuationSeparator" w:id="0">
    <w:p w:rsidR="00C6456E" w:rsidRDefault="00C6456E" w:rsidP="00F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15" w:rsidRDefault="00F1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15" w:rsidRDefault="00F14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15" w:rsidRDefault="00F1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6E" w:rsidRDefault="00C6456E" w:rsidP="00F14C15">
      <w:pPr>
        <w:spacing w:after="0" w:line="240" w:lineRule="auto"/>
      </w:pPr>
      <w:r>
        <w:separator/>
      </w:r>
    </w:p>
  </w:footnote>
  <w:footnote w:type="continuationSeparator" w:id="0">
    <w:p w:rsidR="00C6456E" w:rsidRDefault="00C6456E" w:rsidP="00F1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15" w:rsidRDefault="00F1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942610"/>
      <w:docPartObj>
        <w:docPartGallery w:val="Watermarks"/>
        <w:docPartUnique/>
      </w:docPartObj>
    </w:sdtPr>
    <w:sdtEndPr/>
    <w:sdtContent>
      <w:p w:rsidR="00F14C15" w:rsidRDefault="00C645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15" w:rsidRDefault="00F1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53AE"/>
    <w:multiLevelType w:val="hybridMultilevel"/>
    <w:tmpl w:val="4B18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4059"/>
    <w:multiLevelType w:val="hybridMultilevel"/>
    <w:tmpl w:val="AD54D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307B4"/>
    <w:multiLevelType w:val="hybridMultilevel"/>
    <w:tmpl w:val="4B5EA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ED7BCC"/>
    <w:multiLevelType w:val="multilevel"/>
    <w:tmpl w:val="221E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46C91"/>
    <w:multiLevelType w:val="hybridMultilevel"/>
    <w:tmpl w:val="A6A2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A742F2"/>
    <w:multiLevelType w:val="multilevel"/>
    <w:tmpl w:val="151E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75355"/>
    <w:multiLevelType w:val="hybridMultilevel"/>
    <w:tmpl w:val="77BE2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0275E7"/>
    <w:multiLevelType w:val="hybridMultilevel"/>
    <w:tmpl w:val="96EC4CD0"/>
    <w:lvl w:ilvl="0" w:tplc="57302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727D5"/>
    <w:multiLevelType w:val="hybridMultilevel"/>
    <w:tmpl w:val="8EC2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5B"/>
    <w:rsid w:val="00077FA7"/>
    <w:rsid w:val="001E508B"/>
    <w:rsid w:val="00364FAF"/>
    <w:rsid w:val="00433BFF"/>
    <w:rsid w:val="00452D20"/>
    <w:rsid w:val="004952E2"/>
    <w:rsid w:val="005676F4"/>
    <w:rsid w:val="0058399F"/>
    <w:rsid w:val="00A161AA"/>
    <w:rsid w:val="00A642BB"/>
    <w:rsid w:val="00B8385B"/>
    <w:rsid w:val="00C00B89"/>
    <w:rsid w:val="00C6456E"/>
    <w:rsid w:val="00D5061D"/>
    <w:rsid w:val="00DD2181"/>
    <w:rsid w:val="00E16ACD"/>
    <w:rsid w:val="00F14C15"/>
    <w:rsid w:val="00FB6D66"/>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FCA09"/>
  <w15:chartTrackingRefBased/>
  <w15:docId w15:val="{53DE51F3-2350-449D-BFF5-F575C34E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838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38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385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8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385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385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838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42BB"/>
    <w:pPr>
      <w:ind w:left="720"/>
      <w:contextualSpacing/>
    </w:pPr>
  </w:style>
  <w:style w:type="paragraph" w:styleId="Header">
    <w:name w:val="header"/>
    <w:basedOn w:val="Normal"/>
    <w:link w:val="HeaderChar"/>
    <w:uiPriority w:val="99"/>
    <w:unhideWhenUsed/>
    <w:rsid w:val="00F1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15"/>
  </w:style>
  <w:style w:type="paragraph" w:styleId="Footer">
    <w:name w:val="footer"/>
    <w:basedOn w:val="Normal"/>
    <w:link w:val="FooterChar"/>
    <w:uiPriority w:val="99"/>
    <w:unhideWhenUsed/>
    <w:rsid w:val="00F1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3762">
      <w:bodyDiv w:val="1"/>
      <w:marLeft w:val="0"/>
      <w:marRight w:val="0"/>
      <w:marTop w:val="0"/>
      <w:marBottom w:val="0"/>
      <w:divBdr>
        <w:top w:val="none" w:sz="0" w:space="0" w:color="auto"/>
        <w:left w:val="none" w:sz="0" w:space="0" w:color="auto"/>
        <w:bottom w:val="none" w:sz="0" w:space="0" w:color="auto"/>
        <w:right w:val="none" w:sz="0" w:space="0" w:color="auto"/>
      </w:divBdr>
    </w:div>
    <w:div w:id="1309087798">
      <w:bodyDiv w:val="1"/>
      <w:marLeft w:val="0"/>
      <w:marRight w:val="0"/>
      <w:marTop w:val="0"/>
      <w:marBottom w:val="0"/>
      <w:divBdr>
        <w:top w:val="none" w:sz="0" w:space="0" w:color="auto"/>
        <w:left w:val="none" w:sz="0" w:space="0" w:color="auto"/>
        <w:bottom w:val="none" w:sz="0" w:space="0" w:color="auto"/>
        <w:right w:val="none" w:sz="0" w:space="0" w:color="auto"/>
      </w:divBdr>
      <w:divsChild>
        <w:div w:id="104382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James Hill</cp:lastModifiedBy>
  <cp:revision>2</cp:revision>
  <dcterms:created xsi:type="dcterms:W3CDTF">2023-01-20T13:09:00Z</dcterms:created>
  <dcterms:modified xsi:type="dcterms:W3CDTF">2023-01-20T13:09:00Z</dcterms:modified>
</cp:coreProperties>
</file>