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CD" w:rsidRPr="00C5611E" w:rsidRDefault="009342AA" w:rsidP="0092795F">
      <w:pPr>
        <w:jc w:val="right"/>
        <w:rPr>
          <w:rFonts w:ascii="Rockwell" w:hAnsi="Rockwell" w:cs="Cambria"/>
          <w:color w:val="auto"/>
          <w:sz w:val="24"/>
          <w:szCs w:val="24"/>
        </w:rPr>
      </w:pPr>
      <w:r w:rsidRPr="00C5611E">
        <w:rPr>
          <w:rFonts w:ascii="Rockwell" w:hAnsi="Rockwel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46CC2D2" wp14:editId="2B7AB67A">
            <wp:simplePos x="0" y="0"/>
            <wp:positionH relativeFrom="margin">
              <wp:posOffset>-28575</wp:posOffset>
            </wp:positionH>
            <wp:positionV relativeFrom="paragraph">
              <wp:posOffset>-523875</wp:posOffset>
            </wp:positionV>
            <wp:extent cx="1028700" cy="776159"/>
            <wp:effectExtent l="0" t="0" r="0" b="50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95F">
        <w:rPr>
          <w:rFonts w:ascii="Rockwell" w:hAnsi="Rockwell" w:cs="Cambria"/>
          <w:color w:val="auto"/>
          <w:sz w:val="24"/>
          <w:szCs w:val="24"/>
        </w:rPr>
        <w:t>February Director’s Report</w:t>
      </w:r>
    </w:p>
    <w:p w:rsidR="007F4E3C" w:rsidRPr="00C5611E" w:rsidRDefault="007F4E3C" w:rsidP="00DF5CE0">
      <w:pPr>
        <w:rPr>
          <w:rFonts w:ascii="Rockwell" w:hAnsi="Rockwell" w:cs="Cambria"/>
          <w:color w:val="auto"/>
        </w:rPr>
      </w:pPr>
    </w:p>
    <w:p w:rsidR="007F4E3C" w:rsidRDefault="007F4E3C" w:rsidP="0092795F">
      <w:pPr>
        <w:rPr>
          <w:rFonts w:ascii="Rockwell" w:hAnsi="Rockwell" w:cs="Cambria"/>
          <w:color w:val="auto"/>
        </w:rPr>
      </w:pPr>
    </w:p>
    <w:p w:rsidR="0092795F" w:rsidRDefault="0092795F" w:rsidP="0092795F">
      <w:pPr>
        <w:rPr>
          <w:rFonts w:ascii="Rockwell" w:hAnsi="Rockwell" w:cs="Cambria"/>
          <w:color w:val="auto"/>
        </w:rPr>
      </w:pPr>
    </w:p>
    <w:p w:rsidR="0092795F" w:rsidRDefault="0092795F" w:rsidP="0092795F">
      <w:pPr>
        <w:rPr>
          <w:rFonts w:ascii="Rockwell" w:hAnsi="Rockwell" w:cs="Cambria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20955</wp:posOffset>
            </wp:positionV>
            <wp:extent cx="1785620" cy="1339215"/>
            <wp:effectExtent l="0" t="0" r="5080" b="0"/>
            <wp:wrapTight wrapText="bothSides">
              <wp:wrapPolygon edited="0">
                <wp:start x="0" y="0"/>
                <wp:lineTo x="0" y="21201"/>
                <wp:lineTo x="21431" y="21201"/>
                <wp:lineTo x="21431" y="0"/>
                <wp:lineTo x="0" y="0"/>
              </wp:wrapPolygon>
            </wp:wrapTight>
            <wp:docPr id="1" name="Picture 1" descr="The  Chillicothe &amp; Ross Public Library recently had a new bench put in near the main branch that looks like a b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 Chillicothe &amp; Ross Public Library recently had a new bench put in near the main branch that looks like a book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3DD">
        <w:rPr>
          <w:rFonts w:ascii="Rockwell" w:hAnsi="Rockwell" w:cs="Cambria"/>
          <w:color w:val="auto"/>
        </w:rPr>
        <w:tab/>
        <w:t xml:space="preserve">The bus </w:t>
      </w:r>
      <w:r>
        <w:rPr>
          <w:rFonts w:ascii="Rockwell" w:hAnsi="Rockwell" w:cs="Cambria"/>
          <w:color w:val="auto"/>
        </w:rPr>
        <w:t xml:space="preserve">stop book bench has generated a lot of buzz. </w:t>
      </w:r>
      <w:r w:rsidRPr="00A143DD">
        <w:rPr>
          <w:rFonts w:ascii="Rockwell" w:hAnsi="Rockwell" w:cs="Cambria"/>
          <w:color w:val="auto"/>
        </w:rPr>
        <w:t>The</w:t>
      </w:r>
      <w:r w:rsidRPr="00A143DD">
        <w:rPr>
          <w:rFonts w:ascii="Rockwell" w:hAnsi="Rockwell" w:cs="Cambria"/>
          <w:i/>
          <w:color w:val="auto"/>
        </w:rPr>
        <w:t xml:space="preserve"> Gazette</w:t>
      </w:r>
      <w:r>
        <w:rPr>
          <w:rFonts w:ascii="Rockwell" w:hAnsi="Rockwell" w:cs="Cambria"/>
          <w:color w:val="auto"/>
        </w:rPr>
        <w:t xml:space="preserve"> featu</w:t>
      </w:r>
      <w:r w:rsidR="00792A57">
        <w:rPr>
          <w:rFonts w:ascii="Rockwell" w:hAnsi="Rockwell" w:cs="Cambria"/>
          <w:color w:val="auto"/>
        </w:rPr>
        <w:t xml:space="preserve">red a photo </w:t>
      </w:r>
      <w:r>
        <w:rPr>
          <w:rFonts w:ascii="Rockwell" w:hAnsi="Rockwell" w:cs="Cambria"/>
          <w:color w:val="auto"/>
        </w:rPr>
        <w:t xml:space="preserve">on January 30. </w:t>
      </w:r>
      <w:r w:rsidR="00792A57">
        <w:rPr>
          <w:rFonts w:ascii="Rockwell" w:hAnsi="Rockwell" w:cs="Cambria"/>
          <w:color w:val="auto"/>
        </w:rPr>
        <w:t>The artwork</w:t>
      </w:r>
      <w:r>
        <w:rPr>
          <w:rFonts w:ascii="Rockwell" w:hAnsi="Rockwell" w:cs="Cambria"/>
          <w:color w:val="auto"/>
        </w:rPr>
        <w:t xml:space="preserve"> has several clear coats on it, so we’re hopeful it will weather okay and not be subjected to vandalism.</w:t>
      </w:r>
    </w:p>
    <w:p w:rsidR="0092795F" w:rsidRDefault="0092795F" w:rsidP="0092795F">
      <w:pPr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ab/>
        <w:t xml:space="preserve">The warming station </w:t>
      </w:r>
      <w:r w:rsidR="00792A57">
        <w:rPr>
          <w:rFonts w:ascii="Rockwell" w:hAnsi="Rockwell" w:cs="Cambria"/>
          <w:color w:val="auto"/>
        </w:rPr>
        <w:t xml:space="preserve">continues to be </w:t>
      </w:r>
      <w:r>
        <w:rPr>
          <w:rFonts w:ascii="Rockwell" w:hAnsi="Rockwell" w:cs="Cambria"/>
          <w:color w:val="auto"/>
        </w:rPr>
        <w:t>very popular. More than once</w:t>
      </w:r>
      <w:r w:rsidR="00A143DD">
        <w:rPr>
          <w:rFonts w:ascii="Rockwell" w:hAnsi="Rockwell" w:cs="Cambria"/>
          <w:color w:val="auto"/>
        </w:rPr>
        <w:t xml:space="preserve"> in January</w:t>
      </w:r>
      <w:r>
        <w:rPr>
          <w:rFonts w:ascii="Rockwell" w:hAnsi="Rockwell" w:cs="Cambria"/>
          <w:color w:val="auto"/>
        </w:rPr>
        <w:t xml:space="preserve"> we’</w:t>
      </w:r>
      <w:r w:rsidR="00A143DD">
        <w:rPr>
          <w:rFonts w:ascii="Rockwell" w:hAnsi="Rockwell" w:cs="Cambria"/>
          <w:color w:val="auto"/>
        </w:rPr>
        <w:t>ve surpassed 70</w:t>
      </w:r>
      <w:r>
        <w:rPr>
          <w:rFonts w:ascii="Rockwell" w:hAnsi="Rockwell" w:cs="Cambria"/>
          <w:color w:val="auto"/>
        </w:rPr>
        <w:t xml:space="preserve"> attendees over the course of </w:t>
      </w:r>
      <w:r w:rsidR="00792A57">
        <w:rPr>
          <w:rFonts w:ascii="Rockwell" w:hAnsi="Rockwell" w:cs="Cambria"/>
          <w:color w:val="auto"/>
        </w:rPr>
        <w:t>a</w:t>
      </w:r>
      <w:r>
        <w:rPr>
          <w:rFonts w:ascii="Rockwell" w:hAnsi="Rockwell" w:cs="Cambria"/>
          <w:color w:val="auto"/>
        </w:rPr>
        <w:t xml:space="preserve"> day. It’s taking a lot of pressure off Main during the colder weather. However, since </w:t>
      </w:r>
      <w:r w:rsidR="00792A57">
        <w:rPr>
          <w:rFonts w:ascii="Rockwell" w:hAnsi="Rockwell" w:cs="Cambria"/>
          <w:color w:val="auto"/>
        </w:rPr>
        <w:t>the warming station is</w:t>
      </w:r>
      <w:r>
        <w:rPr>
          <w:rFonts w:ascii="Rockwell" w:hAnsi="Rockwell" w:cs="Cambria"/>
          <w:color w:val="auto"/>
        </w:rPr>
        <w:t xml:space="preserve"> not open on weeke</w:t>
      </w:r>
      <w:r w:rsidR="00A143DD">
        <w:rPr>
          <w:rFonts w:ascii="Rockwell" w:hAnsi="Rockwell" w:cs="Cambria"/>
          <w:color w:val="auto"/>
        </w:rPr>
        <w:t>nds</w:t>
      </w:r>
      <w:r>
        <w:rPr>
          <w:rFonts w:ascii="Rockwell" w:hAnsi="Rockwell" w:cs="Cambria"/>
          <w:color w:val="auto"/>
        </w:rPr>
        <w:t xml:space="preserve">, the </w:t>
      </w:r>
      <w:r w:rsidR="00A143DD">
        <w:rPr>
          <w:rFonts w:ascii="Rockwell" w:hAnsi="Rockwell" w:cs="Cambria"/>
          <w:color w:val="auto"/>
        </w:rPr>
        <w:t xml:space="preserve">issues (like overcrowding and “camping out”) </w:t>
      </w:r>
      <w:r w:rsidR="00792A57">
        <w:rPr>
          <w:rFonts w:ascii="Rockwell" w:hAnsi="Rockwell" w:cs="Cambria"/>
          <w:color w:val="auto"/>
        </w:rPr>
        <w:t>can be</w:t>
      </w:r>
      <w:r>
        <w:rPr>
          <w:rFonts w:ascii="Rockwell" w:hAnsi="Rockwell" w:cs="Cambria"/>
          <w:color w:val="auto"/>
        </w:rPr>
        <w:t xml:space="preserve"> exasperated</w:t>
      </w:r>
      <w:r w:rsidR="00792A57">
        <w:rPr>
          <w:rFonts w:ascii="Rockwell" w:hAnsi="Rockwell" w:cs="Cambria"/>
          <w:color w:val="auto"/>
        </w:rPr>
        <w:t xml:space="preserve"> then, not necessarily on staff, but on regular patrons who visit on weekends.</w:t>
      </w:r>
    </w:p>
    <w:p w:rsidR="0092795F" w:rsidRDefault="0092795F" w:rsidP="0092795F">
      <w:pPr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ab/>
        <w:t>We’re still waiting on the final drawings and estimate</w:t>
      </w:r>
      <w:r w:rsidR="00792A57">
        <w:rPr>
          <w:rFonts w:ascii="Rockwell" w:hAnsi="Rockwell" w:cs="Cambria"/>
          <w:color w:val="auto"/>
        </w:rPr>
        <w:t>s</w:t>
      </w:r>
      <w:r>
        <w:rPr>
          <w:rFonts w:ascii="Rockwell" w:hAnsi="Rockwell" w:cs="Cambria"/>
          <w:color w:val="auto"/>
        </w:rPr>
        <w:t xml:space="preserve"> for the Annex renovations. We don’t have a schedule in place yet, but </w:t>
      </w:r>
      <w:r w:rsidR="00A143DD">
        <w:rPr>
          <w:rFonts w:ascii="Rockwell" w:hAnsi="Rockwell" w:cs="Cambria"/>
          <w:color w:val="auto"/>
        </w:rPr>
        <w:t>we’re still aiming</w:t>
      </w:r>
      <w:r>
        <w:rPr>
          <w:rFonts w:ascii="Rockwell" w:hAnsi="Rockwell" w:cs="Cambria"/>
          <w:color w:val="auto"/>
        </w:rPr>
        <w:t xml:space="preserve"> for early summer. The remaining bit of landscape work at the Annex should be completed in early April.</w:t>
      </w:r>
    </w:p>
    <w:p w:rsidR="00BE76E4" w:rsidRPr="00BE76E4" w:rsidRDefault="0092795F" w:rsidP="00A143DD">
      <w:pPr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ab/>
        <w:t xml:space="preserve">The Ohio Library Council continues to prepare for </w:t>
      </w:r>
      <w:r w:rsidR="00792A57">
        <w:rPr>
          <w:rFonts w:ascii="Rockwell" w:hAnsi="Rockwell" w:cs="Cambria"/>
          <w:color w:val="auto"/>
        </w:rPr>
        <w:t xml:space="preserve">April’s </w:t>
      </w:r>
      <w:r>
        <w:rPr>
          <w:rFonts w:ascii="Rockwell" w:hAnsi="Rockwell" w:cs="Cambria"/>
          <w:color w:val="auto"/>
        </w:rPr>
        <w:t xml:space="preserve">Legislative Day and the biennial budget process. Governor DeWine outlined several spending priorities in his recent State of the State address, including a focus on early literacy and libraries, so there is optimism that the Public Library Fund </w:t>
      </w:r>
      <w:r w:rsidR="00A143DD">
        <w:rPr>
          <w:rFonts w:ascii="Rockwell" w:hAnsi="Rockwell" w:cs="Cambria"/>
          <w:color w:val="auto"/>
        </w:rPr>
        <w:t xml:space="preserve">(PLF) </w:t>
      </w:r>
      <w:r>
        <w:rPr>
          <w:rFonts w:ascii="Rockwell" w:hAnsi="Rockwell" w:cs="Cambria"/>
          <w:color w:val="auto"/>
        </w:rPr>
        <w:t>will continue to receive broad support.</w:t>
      </w:r>
      <w:r w:rsidR="00A143DD">
        <w:rPr>
          <w:rFonts w:ascii="Rockwell" w:hAnsi="Rockwell" w:cs="Cambria"/>
          <w:color w:val="auto"/>
        </w:rPr>
        <w:t xml:space="preserve"> In his proposed budget,</w:t>
      </w:r>
      <w:r w:rsidR="00792A57">
        <w:rPr>
          <w:rFonts w:ascii="Rockwell" w:hAnsi="Rockwell" w:cs="Cambria"/>
          <w:color w:val="auto"/>
        </w:rPr>
        <w:t xml:space="preserve"> known as</w:t>
      </w:r>
      <w:r w:rsidR="00A143DD">
        <w:rPr>
          <w:rFonts w:ascii="Rockwell" w:hAnsi="Rockwell" w:cs="Cambria"/>
          <w:color w:val="auto"/>
        </w:rPr>
        <w:t xml:space="preserve"> the Bluebook, </w:t>
      </w:r>
      <w:r w:rsidR="00E475D5">
        <w:rPr>
          <w:rFonts w:ascii="Rockwell" w:hAnsi="Rockwell" w:cs="Cambria"/>
          <w:color w:val="auto"/>
        </w:rPr>
        <w:t>DeWine</w:t>
      </w:r>
      <w:r w:rsidR="00A143DD">
        <w:rPr>
          <w:rFonts w:ascii="Rockwell" w:hAnsi="Rockwell" w:cs="Cambria"/>
          <w:color w:val="auto"/>
        </w:rPr>
        <w:t xml:space="preserve"> </w:t>
      </w:r>
      <w:r w:rsidR="00E475D5">
        <w:rPr>
          <w:rFonts w:ascii="Rockwell" w:hAnsi="Rockwell" w:cs="Cambria"/>
          <w:color w:val="auto"/>
        </w:rPr>
        <w:t>recommended setting</w:t>
      </w:r>
      <w:r w:rsidR="00A143DD">
        <w:rPr>
          <w:rFonts w:ascii="Rockwell" w:hAnsi="Rockwell" w:cs="Cambria"/>
          <w:color w:val="auto"/>
        </w:rPr>
        <w:t xml:space="preserve"> the PLF at 1.7% of general revenue, which is what we’ve had </w:t>
      </w:r>
      <w:r w:rsidR="00E475D5">
        <w:rPr>
          <w:rFonts w:ascii="Rockwell" w:hAnsi="Rockwell" w:cs="Cambria"/>
          <w:color w:val="auto"/>
        </w:rPr>
        <w:t xml:space="preserve">temporarily </w:t>
      </w:r>
      <w:r w:rsidR="00A143DD">
        <w:rPr>
          <w:rFonts w:ascii="Rockwell" w:hAnsi="Rockwell" w:cs="Cambria"/>
          <w:color w:val="auto"/>
        </w:rPr>
        <w:t>for the past two years—</w:t>
      </w:r>
      <w:r w:rsidR="00BE76E4">
        <w:rPr>
          <w:rFonts w:ascii="Rockwell" w:hAnsi="Rockwell" w:cs="Cambria"/>
          <w:color w:val="auto"/>
        </w:rPr>
        <w:t xml:space="preserve">the </w:t>
      </w:r>
      <w:r w:rsidR="00A143DD">
        <w:rPr>
          <w:rFonts w:ascii="Rockwell" w:hAnsi="Rockwell" w:cs="Cambria"/>
          <w:color w:val="auto"/>
        </w:rPr>
        <w:t>statutory</w:t>
      </w:r>
      <w:r w:rsidR="00BE76E4">
        <w:rPr>
          <w:rFonts w:ascii="Rockwell" w:hAnsi="Rockwell" w:cs="Cambria"/>
          <w:color w:val="auto"/>
        </w:rPr>
        <w:t xml:space="preserve"> rate </w:t>
      </w:r>
      <w:r w:rsidR="00E475D5">
        <w:rPr>
          <w:rFonts w:ascii="Rockwell" w:hAnsi="Rockwell" w:cs="Cambria"/>
          <w:color w:val="auto"/>
        </w:rPr>
        <w:t>is 1.66%</w:t>
      </w:r>
      <w:r w:rsidR="00A143DD">
        <w:rPr>
          <w:rFonts w:ascii="Rockwell" w:hAnsi="Rockwell" w:cs="Cambria"/>
          <w:color w:val="auto"/>
        </w:rPr>
        <w:t>.</w:t>
      </w:r>
      <w:r w:rsidR="00E475D5">
        <w:rPr>
          <w:rFonts w:ascii="Rockwell" w:hAnsi="Rockwell" w:cs="Cambria"/>
          <w:color w:val="auto"/>
        </w:rPr>
        <w:t xml:space="preserve"> The governor’s request puts the legislature in the position of having to argue why libraries shouldn’t be funded. We’re starting from a good position.</w:t>
      </w:r>
    </w:p>
    <w:p w:rsidR="00CF28CE" w:rsidRPr="00C5611E" w:rsidRDefault="00CF28CE" w:rsidP="00DF5CE0">
      <w:pPr>
        <w:rPr>
          <w:rFonts w:ascii="Rockwell" w:hAnsi="Rockwell" w:cs="Cambria"/>
          <w:color w:val="auto"/>
        </w:rPr>
      </w:pPr>
    </w:p>
    <w:p w:rsidR="00CF28CE" w:rsidRPr="00C5611E" w:rsidRDefault="00DF5CE0" w:rsidP="00CF28CE">
      <w:pPr>
        <w:rPr>
          <w:rFonts w:ascii="Rockwell" w:hAnsi="Rockwell" w:cs="Cambria"/>
          <w:color w:val="auto"/>
        </w:rPr>
      </w:pPr>
      <w:r w:rsidRPr="00C5611E">
        <w:rPr>
          <w:rFonts w:ascii="Rockwell" w:hAnsi="Rockwell" w:cs="Cambria"/>
          <w:color w:val="auto"/>
        </w:rPr>
        <w:t>NEW BUSINESS:</w:t>
      </w:r>
    </w:p>
    <w:p w:rsidR="00CF28CE" w:rsidRPr="00BE76E4" w:rsidRDefault="00132C85" w:rsidP="00CF28CE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>
        <w:rPr>
          <w:rFonts w:ascii="Rockwell" w:hAnsi="Rockwell"/>
        </w:rPr>
        <w:t>New Administrative Policy 12—Fixed Asset Policy</w:t>
      </w:r>
      <w:r w:rsidR="002C5489" w:rsidRPr="00C5611E">
        <w:rPr>
          <w:rFonts w:ascii="Rockwell" w:hAnsi="Rockwell"/>
        </w:rPr>
        <w:t xml:space="preserve"> </w:t>
      </w:r>
      <w:r w:rsidR="002C5489" w:rsidRPr="00C5611E">
        <w:rPr>
          <w:rFonts w:ascii="Rockwell" w:hAnsi="Rockwell" w:cs="Cambria"/>
          <w:b/>
          <w:color w:val="FF0000"/>
        </w:rPr>
        <w:t>[ACTION]</w:t>
      </w:r>
    </w:p>
    <w:p w:rsidR="00BE76E4" w:rsidRDefault="00BE76E4" w:rsidP="00BE76E4">
      <w:pPr>
        <w:ind w:left="720" w:firstLine="720"/>
        <w:rPr>
          <w:rStyle w:val="Strong"/>
          <w:rFonts w:ascii="Rockwell" w:hAnsi="Rockwell" w:cs="Cambria"/>
          <w:b w:val="0"/>
          <w:bCs w:val="0"/>
          <w:color w:val="auto"/>
        </w:rPr>
      </w:pPr>
      <w:r>
        <w:rPr>
          <w:rStyle w:val="Strong"/>
          <w:rFonts w:ascii="Rockwell" w:hAnsi="Rockwell" w:cs="Cambria"/>
          <w:b w:val="0"/>
          <w:bCs w:val="0"/>
          <w:color w:val="auto"/>
        </w:rPr>
        <w:t>Cassie has been working a new policy to address our inventory accession and deaccession processes. We don’t have a current policy, so this would update and formalize our current procedures. She drafted this policy based on OLC’s guidelines and after reviewing policies from other libraries.</w:t>
      </w:r>
    </w:p>
    <w:p w:rsidR="00BE76E4" w:rsidRPr="00BE76E4" w:rsidRDefault="00BE76E4" w:rsidP="00BE76E4">
      <w:pPr>
        <w:ind w:left="720"/>
        <w:rPr>
          <w:rStyle w:val="Strong"/>
          <w:rFonts w:ascii="Rockwell" w:hAnsi="Rockwell" w:cs="Cambria"/>
          <w:b w:val="0"/>
          <w:bCs w:val="0"/>
          <w:color w:val="auto"/>
        </w:rPr>
      </w:pPr>
      <w:r>
        <w:rPr>
          <w:rStyle w:val="Strong"/>
          <w:rFonts w:ascii="Rockwell" w:hAnsi="Rockwell" w:cs="Cambria"/>
          <w:b w:val="0"/>
          <w:bCs w:val="0"/>
          <w:color w:val="auto"/>
        </w:rPr>
        <w:tab/>
        <w:t xml:space="preserve">Currently, we </w:t>
      </w:r>
      <w:r w:rsidR="00792A57">
        <w:rPr>
          <w:rStyle w:val="Strong"/>
          <w:rFonts w:ascii="Rockwell" w:hAnsi="Rockwell" w:cs="Cambria"/>
          <w:b w:val="0"/>
          <w:bCs w:val="0"/>
          <w:color w:val="auto"/>
        </w:rPr>
        <w:t>tag</w:t>
      </w:r>
      <w:r>
        <w:rPr>
          <w:rStyle w:val="Strong"/>
          <w:rFonts w:ascii="Rockwell" w:hAnsi="Rockwell" w:cs="Cambria"/>
          <w:b w:val="0"/>
          <w:bCs w:val="0"/>
          <w:color w:val="auto"/>
        </w:rPr>
        <w:t xml:space="preserve"> any non-expendable that’s valued at more than $100 (was previously $50); this policy increases that</w:t>
      </w:r>
      <w:r w:rsidR="00792A57">
        <w:rPr>
          <w:rStyle w:val="Strong"/>
          <w:rFonts w:ascii="Rockwell" w:hAnsi="Rockwell" w:cs="Cambria"/>
          <w:b w:val="0"/>
          <w:bCs w:val="0"/>
          <w:color w:val="auto"/>
        </w:rPr>
        <w:t xml:space="preserve"> threshold</w:t>
      </w:r>
      <w:r>
        <w:rPr>
          <w:rStyle w:val="Strong"/>
          <w:rFonts w:ascii="Rockwell" w:hAnsi="Rockwell" w:cs="Cambria"/>
          <w:b w:val="0"/>
          <w:bCs w:val="0"/>
          <w:color w:val="auto"/>
        </w:rPr>
        <w:t xml:space="preserve"> to $500. IT already keeps their own list of computers and related equipment. For audit purposes, we are already required to keep an updated building list and data processing software list. This policy</w:t>
      </w:r>
      <w:r w:rsidR="00792A57">
        <w:rPr>
          <w:rStyle w:val="Strong"/>
          <w:rFonts w:ascii="Rockwell" w:hAnsi="Rockwell" w:cs="Cambria"/>
          <w:b w:val="0"/>
          <w:bCs w:val="0"/>
          <w:color w:val="auto"/>
        </w:rPr>
        <w:t xml:space="preserve"> includes non-circulating artwork (like the large </w:t>
      </w:r>
      <w:r w:rsidR="00792A57" w:rsidRPr="00792A57">
        <w:rPr>
          <w:rStyle w:val="Strong"/>
          <w:rFonts w:ascii="Rockwell" w:hAnsi="Rockwell" w:cs="Cambria"/>
          <w:b w:val="0"/>
          <w:bCs w:val="0"/>
          <w:i/>
          <w:color w:val="auto"/>
        </w:rPr>
        <w:t>Cinderella</w:t>
      </w:r>
      <w:r w:rsidR="00792A57">
        <w:rPr>
          <w:rStyle w:val="Strong"/>
          <w:rFonts w:ascii="Rockwell" w:hAnsi="Rockwell" w:cs="Cambria"/>
          <w:b w:val="0"/>
          <w:bCs w:val="0"/>
          <w:color w:val="auto"/>
        </w:rPr>
        <w:t xml:space="preserve"> painting at Main) and</w:t>
      </w:r>
      <w:r>
        <w:rPr>
          <w:rStyle w:val="Strong"/>
          <w:rFonts w:ascii="Rockwell" w:hAnsi="Rockwell" w:cs="Cambria"/>
          <w:b w:val="0"/>
          <w:bCs w:val="0"/>
          <w:color w:val="auto"/>
        </w:rPr>
        <w:t xml:space="preserve"> also formalizes the disposal process.</w:t>
      </w:r>
    </w:p>
    <w:p w:rsidR="00132C85" w:rsidRDefault="00132C85" w:rsidP="00132C85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>
        <w:rPr>
          <w:rFonts w:ascii="Rockwell" w:hAnsi="Rockwell"/>
        </w:rPr>
        <w:t>Update HR Policy 4.5—Holidays</w:t>
      </w:r>
      <w:r w:rsidR="00C5611E" w:rsidRPr="00C5611E">
        <w:rPr>
          <w:rFonts w:ascii="Rockwell" w:hAnsi="Rockwell"/>
        </w:rPr>
        <w:t xml:space="preserve"> </w:t>
      </w:r>
      <w:r w:rsidR="00C5611E" w:rsidRPr="00C5611E">
        <w:rPr>
          <w:rFonts w:ascii="Rockwell" w:hAnsi="Rockwell" w:cs="Cambria"/>
          <w:b/>
          <w:color w:val="FF0000"/>
        </w:rPr>
        <w:t>[A</w:t>
      </w:r>
      <w:r w:rsidR="002C5489" w:rsidRPr="00C5611E">
        <w:rPr>
          <w:rFonts w:ascii="Rockwell" w:hAnsi="Rockwell" w:cs="Cambria"/>
          <w:b/>
          <w:color w:val="FF0000"/>
        </w:rPr>
        <w:t>CTION]</w:t>
      </w:r>
      <w:r w:rsidRPr="00132C85">
        <w:rPr>
          <w:rFonts w:ascii="Rockwell" w:hAnsi="Rockwell" w:cs="Cambria"/>
          <w:color w:val="auto"/>
        </w:rPr>
        <w:t xml:space="preserve"> </w:t>
      </w:r>
    </w:p>
    <w:p w:rsidR="00BE76E4" w:rsidRDefault="00BE76E4" w:rsidP="00BE76E4">
      <w:pPr>
        <w:ind w:left="720" w:firstLine="720"/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 xml:space="preserve">A few years ago we changed our holiday policy to allow part-timers </w:t>
      </w:r>
      <w:r w:rsidR="007134B0">
        <w:rPr>
          <w:rFonts w:ascii="Rockwell" w:hAnsi="Rockwell" w:cs="Cambria"/>
          <w:color w:val="auto"/>
        </w:rPr>
        <w:t xml:space="preserve">who are </w:t>
      </w:r>
      <w:r>
        <w:rPr>
          <w:rFonts w:ascii="Rockwell" w:hAnsi="Rockwell" w:cs="Cambria"/>
          <w:color w:val="auto"/>
        </w:rPr>
        <w:t>nor</w:t>
      </w:r>
      <w:r w:rsidR="007134B0">
        <w:rPr>
          <w:rFonts w:ascii="Rockwell" w:hAnsi="Rockwell" w:cs="Cambria"/>
          <w:color w:val="auto"/>
        </w:rPr>
        <w:t>mally scheduled on a day that is a holiday</w:t>
      </w:r>
      <w:r>
        <w:rPr>
          <w:rFonts w:ascii="Rockwell" w:hAnsi="Rockwell" w:cs="Cambria"/>
          <w:color w:val="auto"/>
        </w:rPr>
        <w:t xml:space="preserve"> to receive </w:t>
      </w:r>
      <w:r w:rsidR="007134B0">
        <w:rPr>
          <w:rFonts w:ascii="Rockwell" w:hAnsi="Rockwell" w:cs="Cambria"/>
          <w:color w:val="auto"/>
        </w:rPr>
        <w:t xml:space="preserve">holiday </w:t>
      </w:r>
      <w:r>
        <w:rPr>
          <w:rFonts w:ascii="Rockwell" w:hAnsi="Rockwell" w:cs="Cambria"/>
          <w:color w:val="auto"/>
        </w:rPr>
        <w:t xml:space="preserve">pay. </w:t>
      </w:r>
      <w:r w:rsidR="007134B0">
        <w:rPr>
          <w:rFonts w:ascii="Rockwell" w:hAnsi="Rockwell" w:cs="Cambria"/>
          <w:color w:val="auto"/>
        </w:rPr>
        <w:t xml:space="preserve">As new staff have been hired, the current language has caused some confusion, so I asked Kelly to clarify that holiday pay is intended only to keep your schedule whole, not to add hours to your week beyond your normal schedule. </w:t>
      </w:r>
    </w:p>
    <w:p w:rsidR="00244AB7" w:rsidRDefault="00244AB7" w:rsidP="00244AB7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>Huntington Library [discussion]</w:t>
      </w:r>
    </w:p>
    <w:p w:rsidR="00244AB7" w:rsidRPr="00244AB7" w:rsidRDefault="00244AB7" w:rsidP="006D71E2">
      <w:pPr>
        <w:ind w:left="720"/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 xml:space="preserve">Last week we started hearing rumors that the Huntington School Board was not going to renew our lease for the </w:t>
      </w:r>
      <w:r w:rsidR="00ED1373">
        <w:rPr>
          <w:rFonts w:ascii="Rockwell" w:hAnsi="Rockwell" w:cs="Cambria"/>
          <w:color w:val="auto"/>
        </w:rPr>
        <w:t>high school</w:t>
      </w:r>
      <w:r>
        <w:rPr>
          <w:rFonts w:ascii="Rockwell" w:hAnsi="Rockwell" w:cs="Cambria"/>
          <w:color w:val="auto"/>
        </w:rPr>
        <w:t xml:space="preserve"> library space. I reached out to </w:t>
      </w:r>
      <w:r w:rsidR="006D71E2">
        <w:rPr>
          <w:rFonts w:ascii="Rockwell" w:hAnsi="Rockwell" w:cs="Cambria"/>
          <w:color w:val="auto"/>
        </w:rPr>
        <w:t xml:space="preserve">Superintendent </w:t>
      </w:r>
      <w:r>
        <w:rPr>
          <w:rFonts w:ascii="Rockwell" w:hAnsi="Rockwell" w:cs="Cambria"/>
          <w:color w:val="auto"/>
        </w:rPr>
        <w:t xml:space="preserve">Pete Ruby, but wasn’t able to make contact until several days later (he’d been out with COVID). Mr. Ruby </w:t>
      </w:r>
      <w:r>
        <w:rPr>
          <w:rFonts w:ascii="Rockwell" w:hAnsi="Rockwell" w:cs="Cambria"/>
          <w:color w:val="auto"/>
        </w:rPr>
        <w:lastRenderedPageBreak/>
        <w:t xml:space="preserve">told me that the board hasn’t had a formal discussion, but he has had one-on-one conversations with some members and two have expressed a desire to take back the space—not because of </w:t>
      </w:r>
      <w:r w:rsidR="00ED1373">
        <w:rPr>
          <w:rFonts w:ascii="Rockwell" w:hAnsi="Rockwell" w:cs="Cambria"/>
          <w:color w:val="auto"/>
        </w:rPr>
        <w:t>our relationship or any dissatisfaction, but simply because they need the space to create more offices. It would be a blow to the students who use our services. Our current 3-year lease ends May 31, 2023. We need to decide how/if we want to proceed with a presence in Huntington.</w:t>
      </w:r>
      <w:bookmarkStart w:id="0" w:name="_GoBack"/>
      <w:bookmarkEnd w:id="0"/>
    </w:p>
    <w:p w:rsidR="00BE76E4" w:rsidRPr="00BE76E4" w:rsidRDefault="00132C85" w:rsidP="007134B0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>
        <w:rPr>
          <w:rFonts w:ascii="Rockwell" w:hAnsi="Rockwell"/>
        </w:rPr>
        <w:t>Adjourn</w:t>
      </w:r>
      <w:r w:rsidRPr="00C5611E">
        <w:rPr>
          <w:rFonts w:ascii="Rockwell" w:hAnsi="Rockwell"/>
        </w:rPr>
        <w:t xml:space="preserve"> </w:t>
      </w:r>
      <w:r w:rsidRPr="00C5611E">
        <w:rPr>
          <w:rFonts w:ascii="Rockwell" w:hAnsi="Rockwell" w:cs="Cambria"/>
          <w:b/>
          <w:color w:val="FF0000"/>
        </w:rPr>
        <w:t>[ACTION]</w:t>
      </w:r>
      <w:r w:rsidR="007134B0" w:rsidRPr="00BE76E4">
        <w:rPr>
          <w:rFonts w:ascii="Rockwell" w:hAnsi="Rockwell" w:cs="Cambria"/>
          <w:color w:val="auto"/>
        </w:rPr>
        <w:t xml:space="preserve"> </w:t>
      </w:r>
    </w:p>
    <w:sectPr w:rsidR="00BE76E4" w:rsidRPr="00BE76E4" w:rsidSect="009A537E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6C7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" w15:restartNumberingAfterBreak="0">
    <w:nsid w:val="09AE1531"/>
    <w:multiLevelType w:val="multilevel"/>
    <w:tmpl w:val="73C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2BDF"/>
    <w:multiLevelType w:val="multilevel"/>
    <w:tmpl w:val="AF3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50107"/>
    <w:multiLevelType w:val="multilevel"/>
    <w:tmpl w:val="13E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E6D85"/>
    <w:multiLevelType w:val="multilevel"/>
    <w:tmpl w:val="6E2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A467E"/>
    <w:multiLevelType w:val="hybridMultilevel"/>
    <w:tmpl w:val="A60801C4"/>
    <w:lvl w:ilvl="0" w:tplc="E5D251CE">
      <w:start w:val="8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BC2"/>
    <w:multiLevelType w:val="hybridMultilevel"/>
    <w:tmpl w:val="72A2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234E4"/>
    <w:multiLevelType w:val="multilevel"/>
    <w:tmpl w:val="822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8722A"/>
    <w:multiLevelType w:val="multilevel"/>
    <w:tmpl w:val="FA4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A320D"/>
    <w:multiLevelType w:val="multilevel"/>
    <w:tmpl w:val="AE9C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35AD4"/>
    <w:multiLevelType w:val="hybridMultilevel"/>
    <w:tmpl w:val="D81C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FEEE38">
      <w:start w:val="1"/>
      <w:numFmt w:val="decimal"/>
      <w:lvlText w:val="%2."/>
      <w:lvlJc w:val="left"/>
      <w:pPr>
        <w:ind w:left="1440" w:hanging="360"/>
      </w:pPr>
      <w:rPr>
        <w:rFonts w:ascii="Rockwell" w:eastAsia="Times New Roman" w:hAnsi="Rockwell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BFD"/>
    <w:multiLevelType w:val="multilevel"/>
    <w:tmpl w:val="AD7A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05AB7"/>
    <w:multiLevelType w:val="hybridMultilevel"/>
    <w:tmpl w:val="EE9E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F3D56"/>
    <w:multiLevelType w:val="multilevel"/>
    <w:tmpl w:val="98A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B0C04"/>
    <w:multiLevelType w:val="hybridMultilevel"/>
    <w:tmpl w:val="5CFCA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27F77"/>
    <w:multiLevelType w:val="multilevel"/>
    <w:tmpl w:val="A944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E4D9F"/>
    <w:multiLevelType w:val="hybridMultilevel"/>
    <w:tmpl w:val="F560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E0"/>
    <w:rsid w:val="000053CD"/>
    <w:rsid w:val="000371C4"/>
    <w:rsid w:val="000E1367"/>
    <w:rsid w:val="00132C85"/>
    <w:rsid w:val="0015414D"/>
    <w:rsid w:val="001938C2"/>
    <w:rsid w:val="002004C7"/>
    <w:rsid w:val="00207949"/>
    <w:rsid w:val="00244AB7"/>
    <w:rsid w:val="002650C7"/>
    <w:rsid w:val="002C5489"/>
    <w:rsid w:val="002E3F46"/>
    <w:rsid w:val="002F216E"/>
    <w:rsid w:val="00313231"/>
    <w:rsid w:val="003E00A2"/>
    <w:rsid w:val="0041694D"/>
    <w:rsid w:val="00452F42"/>
    <w:rsid w:val="004C0765"/>
    <w:rsid w:val="0056730F"/>
    <w:rsid w:val="00575869"/>
    <w:rsid w:val="00581A92"/>
    <w:rsid w:val="005A1B76"/>
    <w:rsid w:val="005A5020"/>
    <w:rsid w:val="005D2556"/>
    <w:rsid w:val="00621016"/>
    <w:rsid w:val="00645DE3"/>
    <w:rsid w:val="006D71E2"/>
    <w:rsid w:val="007134B0"/>
    <w:rsid w:val="00792A57"/>
    <w:rsid w:val="007F4CFB"/>
    <w:rsid w:val="007F4E3C"/>
    <w:rsid w:val="00897BE2"/>
    <w:rsid w:val="008F1197"/>
    <w:rsid w:val="0092795F"/>
    <w:rsid w:val="009342AA"/>
    <w:rsid w:val="009A537E"/>
    <w:rsid w:val="009B07B6"/>
    <w:rsid w:val="00A143DD"/>
    <w:rsid w:val="00A31D65"/>
    <w:rsid w:val="00A70401"/>
    <w:rsid w:val="00B560CE"/>
    <w:rsid w:val="00BC3265"/>
    <w:rsid w:val="00BD136F"/>
    <w:rsid w:val="00BE76E4"/>
    <w:rsid w:val="00C5611E"/>
    <w:rsid w:val="00C648FB"/>
    <w:rsid w:val="00C76D89"/>
    <w:rsid w:val="00CA50C7"/>
    <w:rsid w:val="00CF28CE"/>
    <w:rsid w:val="00D161CD"/>
    <w:rsid w:val="00DC4535"/>
    <w:rsid w:val="00DF5CE0"/>
    <w:rsid w:val="00E27102"/>
    <w:rsid w:val="00E475D5"/>
    <w:rsid w:val="00E72777"/>
    <w:rsid w:val="00E847C8"/>
    <w:rsid w:val="00EC69C9"/>
    <w:rsid w:val="00ED1373"/>
    <w:rsid w:val="00ED4400"/>
    <w:rsid w:val="00EF1763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E1B0"/>
  <w15:chartTrackingRefBased/>
  <w15:docId w15:val="{4E101864-320D-45F8-B890-643B8C7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5CE0"/>
    <w:pPr>
      <w:spacing w:after="0" w:line="276" w:lineRule="auto"/>
    </w:pPr>
    <w:rPr>
      <w:rFonts w:ascii="Arial" w:eastAsia="Times New Roman" w:hAnsi="Arial" w:cs="Arial"/>
      <w:color w:val="000000"/>
      <w:lang w:val="en"/>
    </w:rPr>
  </w:style>
  <w:style w:type="paragraph" w:styleId="Heading1">
    <w:name w:val="heading 1"/>
    <w:basedOn w:val="Normal"/>
    <w:link w:val="Heading1Char"/>
    <w:uiPriority w:val="9"/>
    <w:qFormat/>
    <w:rsid w:val="003E00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00A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4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63"/>
    <w:rPr>
      <w:rFonts w:ascii="Segoe UI" w:eastAsia="Times New Roman" w:hAnsi="Segoe UI" w:cs="Segoe UI"/>
      <w:color w:val="000000"/>
      <w:sz w:val="18"/>
      <w:szCs w:val="18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3E0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E00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0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E00A2"/>
    <w:rPr>
      <w:color w:val="0000FF"/>
      <w:u w:val="single"/>
    </w:rPr>
  </w:style>
  <w:style w:type="paragraph" w:customStyle="1" w:styleId="xmsonormal">
    <w:name w:val="x_msonormal"/>
    <w:basedOn w:val="Normal"/>
    <w:rsid w:val="00CA50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3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styleId="Strong">
    <w:name w:val="Strong"/>
    <w:basedOn w:val="DefaultParagraphFont"/>
    <w:uiPriority w:val="22"/>
    <w:qFormat/>
    <w:rsid w:val="00CF28CE"/>
    <w:rPr>
      <w:b/>
      <w:bCs/>
    </w:rPr>
  </w:style>
  <w:style w:type="character" w:styleId="Emphasis">
    <w:name w:val="Emphasis"/>
    <w:basedOn w:val="DefaultParagraphFont"/>
    <w:uiPriority w:val="20"/>
    <w:qFormat/>
    <w:rsid w:val="00CF28C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401"/>
    <w:rPr>
      <w:rFonts w:asciiTheme="majorHAnsi" w:eastAsiaTheme="majorEastAsia" w:hAnsiTheme="majorHAnsi" w:cstheme="majorBidi"/>
      <w:i/>
      <w:iCs/>
      <w:color w:val="2E74B5" w:themeColor="accent1" w:themeShade="BF"/>
      <w:lang w:val="en"/>
    </w:rPr>
  </w:style>
  <w:style w:type="paragraph" w:customStyle="1" w:styleId="xmsolistparagraph">
    <w:name w:val="x_msolistparagraph"/>
    <w:basedOn w:val="Normal"/>
    <w:rsid w:val="00BE76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markca5nxyc5s">
    <w:name w:val="markca5nxyc5s"/>
    <w:basedOn w:val="DefaultParagraphFont"/>
    <w:rsid w:val="00BE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807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6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1399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6</cp:revision>
  <cp:lastPrinted>2022-11-01T12:27:00Z</cp:lastPrinted>
  <dcterms:created xsi:type="dcterms:W3CDTF">2023-02-01T18:18:00Z</dcterms:created>
  <dcterms:modified xsi:type="dcterms:W3CDTF">2023-02-02T18:51:00Z</dcterms:modified>
</cp:coreProperties>
</file>